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Book Antiqua" w:hAnsi="Book Antiqua"/>
        </w:rPr>
        <w:id w:val="4691207"/>
        <w:docPartObj>
          <w:docPartGallery w:val="Cover Pages"/>
          <w:docPartUnique/>
        </w:docPartObj>
      </w:sdtPr>
      <w:sdtEndPr>
        <w:rPr>
          <w:rFonts w:cs="Times New Roman"/>
          <w:b/>
          <w:bCs/>
        </w:rPr>
      </w:sdtEndPr>
      <w:sdtContent>
        <w:p w:rsidR="00A30C5F" w:rsidRPr="007857F8" w:rsidRDefault="00A30C5F" w:rsidP="00A30C5F">
          <w:pPr>
            <w:ind w:left="-720" w:right="-334"/>
            <w:rPr>
              <w:rFonts w:ascii="Book Antiqua" w:hAnsi="Book Antiqua"/>
            </w:rPr>
          </w:pPr>
        </w:p>
        <w:p w:rsidR="00A30C5F" w:rsidRPr="007857F8" w:rsidRDefault="00C449AF" w:rsidP="003143AC">
          <w:pPr>
            <w:tabs>
              <w:tab w:val="left" w:pos="5910"/>
            </w:tabs>
            <w:ind w:left="-720"/>
            <w:rPr>
              <w:rFonts w:ascii="Book Antiqua" w:hAnsi="Book Antiqua"/>
            </w:rPr>
          </w:pPr>
          <w:r w:rsidRPr="00C449AF">
            <w:rPr>
              <w:rFonts w:ascii="Book Antiqua" w:hAnsi="Book Antiqua"/>
              <w:noProof/>
              <w:lang w:eastAsia="zh-TW"/>
            </w:rPr>
            <w:pict>
              <v:rect id="_x0000_s1030" style="position:absolute;left:0;text-align:left;margin-left:0;margin-top:0;width:612pt;height:11in;z-index:-251658752;mso-width-percent:1000;mso-height-percent:1000;mso-position-horizontal:center;mso-position-horizontal-relative:page;mso-position-vertical:center;mso-position-vertical-relative:page;mso-width-percent:1000;mso-height-percent:1000" o:allowincell="f" stroked="f">
                <v:textbox style="mso-next-textbox:#_x0000_s1030">
                  <w:txbxContent>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Pr="00A30C5F" w:rsidRDefault="00A31F4C" w:rsidP="003143AC">
                      <w:pPr>
                        <w:ind w:left="720"/>
                        <w:rPr>
                          <w:szCs w:val="96"/>
                        </w:rPr>
                      </w:pPr>
                    </w:p>
                  </w:txbxContent>
                </v:textbox>
                <w10:wrap anchorx="page" anchory="page"/>
              </v:rect>
            </w:pict>
          </w:r>
          <w:r w:rsidR="003143AC" w:rsidRPr="007857F8">
            <w:rPr>
              <w:rFonts w:ascii="Book Antiqua" w:hAnsi="Book Antiqua"/>
            </w:rPr>
            <w:tab/>
          </w:r>
        </w:p>
        <w:p w:rsidR="00A30C5F" w:rsidRPr="007857F8" w:rsidRDefault="00A30C5F">
          <w:pPr>
            <w:rPr>
              <w:rFonts w:ascii="Book Antiqua" w:hAnsi="Book Antiqua"/>
            </w:rPr>
          </w:pPr>
        </w:p>
        <w:tbl>
          <w:tblPr>
            <w:tblpPr w:leftFromText="180" w:rightFromText="180" w:vertAnchor="text" w:tblpY="1"/>
            <w:tblOverlap w:val="never"/>
            <w:tblW w:w="3506" w:type="pct"/>
            <w:tblInd w:w="1380" w:type="dxa"/>
            <w:tblBorders>
              <w:top w:val="thinThickSmallGap" w:sz="36" w:space="0" w:color="auto"/>
              <w:left w:val="thinThickSmallGap" w:sz="36" w:space="0" w:color="auto"/>
              <w:bottom w:val="thickThinSmallGap" w:sz="36" w:space="0" w:color="auto"/>
              <w:right w:val="thickThinSmallGap" w:sz="36" w:space="0" w:color="auto"/>
              <w:insideH w:val="single" w:sz="6" w:space="0" w:color="auto"/>
              <w:insideV w:val="single" w:sz="6" w:space="0" w:color="auto"/>
            </w:tblBorders>
            <w:shd w:val="clear" w:color="auto" w:fill="FFFFFF" w:themeFill="background1"/>
            <w:tblLook w:val="04A0"/>
          </w:tblPr>
          <w:tblGrid>
            <w:gridCol w:w="6778"/>
          </w:tblGrid>
          <w:tr w:rsidR="00A30C5F" w:rsidRPr="007857F8" w:rsidTr="00A31F4C">
            <w:trPr>
              <w:trHeight w:val="3770"/>
            </w:trPr>
            <w:tc>
              <w:tcPr>
                <w:tcW w:w="3000" w:type="pct"/>
                <w:shd w:val="clear" w:color="auto" w:fill="FFFFFF" w:themeFill="background1"/>
                <w:vAlign w:val="center"/>
              </w:tcPr>
              <w:sdt>
                <w:sdtPr>
                  <w:rPr>
                    <w:rFonts w:ascii="Book Antiqua" w:eastAsiaTheme="majorEastAsia" w:hAnsi="Book Antiqua" w:cstheme="majorBidi"/>
                    <w:b/>
                    <w:sz w:val="40"/>
                    <w:szCs w:val="40"/>
                  </w:rPr>
                  <w:alias w:val="Title"/>
                  <w:id w:val="13783212"/>
                  <w:dataBinding w:prefixMappings="xmlns:ns0='http://schemas.openxmlformats.org/package/2006/metadata/core-properties' xmlns:ns1='http://purl.org/dc/elements/1.1/'" w:xpath="/ns0:coreProperties[1]/ns1:title[1]" w:storeItemID="{6C3C8BC8-F283-45AE-878A-BAB7291924A1}"/>
                  <w:text/>
                </w:sdtPr>
                <w:sdtContent>
                  <w:p w:rsidR="00A30C5F" w:rsidRPr="007857F8" w:rsidRDefault="0089690B" w:rsidP="00A30C5F">
                    <w:pPr>
                      <w:pStyle w:val="NoSpacing"/>
                      <w:jc w:val="center"/>
                      <w:rPr>
                        <w:rFonts w:ascii="Book Antiqua" w:eastAsiaTheme="majorEastAsia" w:hAnsi="Book Antiqua" w:cstheme="majorBidi"/>
                        <w:b/>
                        <w:sz w:val="40"/>
                        <w:szCs w:val="40"/>
                      </w:rPr>
                    </w:pPr>
                    <w:r>
                      <w:rPr>
                        <w:rFonts w:ascii="Book Antiqua" w:eastAsiaTheme="majorEastAsia" w:hAnsi="Book Antiqua" w:cstheme="majorBidi"/>
                        <w:b/>
                        <w:sz w:val="40"/>
                        <w:szCs w:val="40"/>
                      </w:rPr>
                      <w:t>TRC Financial Services</w:t>
                    </w:r>
                    <w:r w:rsidR="00A30C5F" w:rsidRPr="007857F8">
                      <w:rPr>
                        <w:rFonts w:ascii="Book Antiqua" w:eastAsiaTheme="majorEastAsia" w:hAnsi="Book Antiqua" w:cstheme="majorBidi"/>
                        <w:b/>
                        <w:sz w:val="40"/>
                        <w:szCs w:val="40"/>
                      </w:rPr>
                      <w:t xml:space="preserve"> Limited</w:t>
                    </w:r>
                  </w:p>
                </w:sdtContent>
              </w:sdt>
              <w:p w:rsidR="00A30C5F" w:rsidRPr="007857F8" w:rsidRDefault="00A30C5F" w:rsidP="00A30C5F">
                <w:pPr>
                  <w:pStyle w:val="NoSpacing"/>
                  <w:jc w:val="center"/>
                  <w:rPr>
                    <w:rFonts w:ascii="Book Antiqua" w:hAnsi="Book Antiqua"/>
                  </w:rPr>
                </w:pPr>
              </w:p>
              <w:p w:rsidR="005A0203" w:rsidRPr="007857F8" w:rsidRDefault="005A0203" w:rsidP="005A0203">
                <w:pPr>
                  <w:pStyle w:val="NoSpacing"/>
                  <w:jc w:val="center"/>
                  <w:rPr>
                    <w:rFonts w:ascii="Book Antiqua" w:eastAsiaTheme="majorEastAsia" w:hAnsi="Book Antiqua" w:cstheme="majorBidi"/>
                    <w:b/>
                    <w:bCs/>
                    <w:i/>
                    <w:sz w:val="32"/>
                    <w:szCs w:val="32"/>
                  </w:rPr>
                </w:pPr>
                <w:r w:rsidRPr="007857F8">
                  <w:rPr>
                    <w:rFonts w:ascii="Book Antiqua" w:eastAsiaTheme="majorEastAsia" w:hAnsi="Book Antiqua" w:cstheme="majorBidi"/>
                    <w:b/>
                    <w:bCs/>
                    <w:i/>
                    <w:sz w:val="32"/>
                    <w:szCs w:val="32"/>
                  </w:rPr>
                  <w:t>POLICY ON CRITERIA FOR DETERMINING MATERIALITY OF EVENTS</w:t>
                </w:r>
              </w:p>
              <w:p w:rsidR="00A30C5F" w:rsidRPr="007857F8" w:rsidRDefault="00A30C5F" w:rsidP="00A30C5F">
                <w:pPr>
                  <w:pStyle w:val="NoSpacing"/>
                  <w:jc w:val="center"/>
                  <w:rPr>
                    <w:rFonts w:ascii="Book Antiqua" w:hAnsi="Book Antiqua"/>
                  </w:rPr>
                </w:pPr>
              </w:p>
              <w:p w:rsidR="00A30C5F" w:rsidRPr="007857F8" w:rsidRDefault="00A30C5F" w:rsidP="00A30C5F">
                <w:pPr>
                  <w:pStyle w:val="NoSpacing"/>
                  <w:jc w:val="center"/>
                  <w:rPr>
                    <w:rFonts w:ascii="Book Antiqua" w:hAnsi="Book Antiqua"/>
                  </w:rPr>
                </w:pPr>
              </w:p>
              <w:p w:rsidR="00A30C5F" w:rsidRPr="007857F8" w:rsidRDefault="00A30C5F" w:rsidP="00A30C5F">
                <w:pPr>
                  <w:pStyle w:val="NoSpacing"/>
                  <w:jc w:val="center"/>
                  <w:rPr>
                    <w:rFonts w:ascii="Book Antiqua" w:hAnsi="Book Antiqua"/>
                  </w:rPr>
                </w:pPr>
              </w:p>
            </w:tc>
          </w:tr>
        </w:tbl>
        <w:p w:rsidR="00A30C5F" w:rsidRPr="007857F8" w:rsidRDefault="00A30C5F">
          <w:pPr>
            <w:rPr>
              <w:rFonts w:ascii="Book Antiqua" w:hAnsi="Book Antiqua"/>
            </w:rPr>
          </w:pPr>
          <w:r w:rsidRPr="007857F8">
            <w:rPr>
              <w:rFonts w:ascii="Book Antiqua" w:hAnsi="Book Antiqua"/>
            </w:rPr>
            <w:br w:type="textWrapping" w:clear="all"/>
          </w:r>
        </w:p>
        <w:p w:rsidR="00A30C5F" w:rsidRPr="007857F8" w:rsidRDefault="00A30C5F">
          <w:pPr>
            <w:rPr>
              <w:rFonts w:ascii="Book Antiqua" w:hAnsi="Book Antiqua" w:cs="Times New Roman"/>
              <w:b/>
              <w:bCs/>
            </w:rPr>
          </w:pPr>
          <w:r w:rsidRPr="007857F8">
            <w:rPr>
              <w:rFonts w:ascii="Book Antiqua" w:hAnsi="Book Antiqua" w:cs="Times New Roman"/>
              <w:b/>
              <w:bCs/>
            </w:rPr>
            <w:br w:type="page"/>
          </w:r>
        </w:p>
      </w:sdtContent>
    </w:sdt>
    <w:p w:rsidR="00626090" w:rsidRPr="007857F8" w:rsidRDefault="00626090" w:rsidP="005A0203">
      <w:pPr>
        <w:pBdr>
          <w:bottom w:val="single" w:sz="4" w:space="1" w:color="auto"/>
        </w:pBdr>
        <w:autoSpaceDE w:val="0"/>
        <w:autoSpaceDN w:val="0"/>
        <w:adjustRightInd w:val="0"/>
        <w:spacing w:after="0" w:line="240" w:lineRule="auto"/>
        <w:jc w:val="both"/>
        <w:rPr>
          <w:rFonts w:ascii="Book Antiqua" w:hAnsi="Book Antiqua" w:cs="Arial"/>
          <w:b/>
          <w:bCs/>
        </w:rPr>
      </w:pPr>
    </w:p>
    <w:p w:rsidR="005A0203" w:rsidRPr="007857F8" w:rsidRDefault="005A0203" w:rsidP="005A0203">
      <w:pPr>
        <w:pBdr>
          <w:bottom w:val="single" w:sz="4" w:space="1" w:color="auto"/>
        </w:pBdr>
        <w:autoSpaceDE w:val="0"/>
        <w:autoSpaceDN w:val="0"/>
        <w:adjustRightInd w:val="0"/>
        <w:spacing w:after="0" w:line="240" w:lineRule="auto"/>
        <w:jc w:val="both"/>
        <w:rPr>
          <w:rFonts w:ascii="Book Antiqua" w:hAnsi="Book Antiqua" w:cs="Arial"/>
          <w:b/>
          <w:bCs/>
          <w:sz w:val="20"/>
          <w:szCs w:val="20"/>
        </w:rPr>
      </w:pPr>
      <w:r w:rsidRPr="007857F8">
        <w:rPr>
          <w:rFonts w:ascii="Book Antiqua" w:hAnsi="Book Antiqua" w:cs="Arial"/>
          <w:b/>
          <w:bCs/>
          <w:sz w:val="20"/>
          <w:szCs w:val="20"/>
        </w:rPr>
        <w:t>POLICY ON CRITERIA FOR DETERMINING MATERIALITY OF EVENTS</w:t>
      </w: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pStyle w:val="ListParagraph"/>
        <w:numPr>
          <w:ilvl w:val="0"/>
          <w:numId w:val="33"/>
        </w:numPr>
        <w:autoSpaceDE w:val="0"/>
        <w:autoSpaceDN w:val="0"/>
        <w:adjustRightInd w:val="0"/>
        <w:spacing w:after="0" w:line="240" w:lineRule="auto"/>
        <w:ind w:left="360"/>
        <w:jc w:val="both"/>
        <w:rPr>
          <w:rFonts w:ascii="Book Antiqua" w:hAnsi="Book Antiqua" w:cs="Arial"/>
          <w:b/>
          <w:bCs/>
          <w:sz w:val="20"/>
          <w:szCs w:val="20"/>
        </w:rPr>
      </w:pPr>
      <w:r w:rsidRPr="007857F8">
        <w:rPr>
          <w:rFonts w:ascii="Book Antiqua" w:hAnsi="Book Antiqua" w:cs="Arial"/>
          <w:b/>
          <w:bCs/>
          <w:sz w:val="20"/>
          <w:szCs w:val="20"/>
        </w:rPr>
        <w:t>OBJECTIVE</w:t>
      </w:r>
    </w:p>
    <w:p w:rsidR="005A0203" w:rsidRPr="007857F8" w:rsidRDefault="005A0203" w:rsidP="005A0203">
      <w:pPr>
        <w:pStyle w:val="ListParagraph"/>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r w:rsidRPr="007857F8">
        <w:rPr>
          <w:rFonts w:ascii="Book Antiqua" w:hAnsi="Book Antiqua" w:cs="Arial"/>
          <w:sz w:val="20"/>
          <w:szCs w:val="20"/>
        </w:rPr>
        <w:t>The Policy is framed in accordance with the requirements of the Regulation 30 of Securities and Exchange Board of India (Listing Obligations and Disclosure Requirements) Regulations, 2015 (Regulations).</w:t>
      </w: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r w:rsidRPr="007857F8">
        <w:rPr>
          <w:rFonts w:ascii="Book Antiqua" w:hAnsi="Book Antiqua" w:cs="Arial"/>
          <w:sz w:val="20"/>
          <w:szCs w:val="20"/>
        </w:rPr>
        <w:t>The objective of the Policy is to determine materiality of events or information of the Company and to ensure that such information is adequately disseminated in pursuance with the Regulations and to provide an overall governance framework for such determination of materiality.</w:t>
      </w: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pStyle w:val="ListParagraph"/>
        <w:numPr>
          <w:ilvl w:val="0"/>
          <w:numId w:val="33"/>
        </w:numPr>
        <w:autoSpaceDE w:val="0"/>
        <w:autoSpaceDN w:val="0"/>
        <w:adjustRightInd w:val="0"/>
        <w:spacing w:after="0" w:line="240" w:lineRule="auto"/>
        <w:ind w:left="360"/>
        <w:jc w:val="both"/>
        <w:rPr>
          <w:rFonts w:ascii="Book Antiqua" w:hAnsi="Book Antiqua" w:cs="Arial"/>
          <w:b/>
          <w:bCs/>
          <w:sz w:val="20"/>
          <w:szCs w:val="20"/>
        </w:rPr>
      </w:pPr>
      <w:r w:rsidRPr="007857F8">
        <w:rPr>
          <w:rFonts w:ascii="Book Antiqua" w:hAnsi="Book Antiqua" w:cs="Arial"/>
          <w:b/>
          <w:bCs/>
          <w:sz w:val="20"/>
          <w:szCs w:val="20"/>
        </w:rPr>
        <w:t>DEFINITION</w:t>
      </w: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r w:rsidRPr="007857F8">
        <w:rPr>
          <w:rFonts w:ascii="Book Antiqua" w:hAnsi="Book Antiqua" w:cs="Arial"/>
          <w:b/>
          <w:bCs/>
          <w:sz w:val="20"/>
          <w:szCs w:val="20"/>
        </w:rPr>
        <w:t xml:space="preserve">“Act” </w:t>
      </w:r>
      <w:r w:rsidRPr="007857F8">
        <w:rPr>
          <w:rFonts w:ascii="Book Antiqua" w:hAnsi="Book Antiqua" w:cs="Arial"/>
          <w:sz w:val="20"/>
          <w:szCs w:val="20"/>
        </w:rPr>
        <w:t xml:space="preserve">shall mean the Companies Act, 2013 and the Rules framed </w:t>
      </w:r>
      <w:proofErr w:type="spellStart"/>
      <w:r w:rsidRPr="007857F8">
        <w:rPr>
          <w:rFonts w:ascii="Book Antiqua" w:hAnsi="Book Antiqua" w:cs="Arial"/>
          <w:sz w:val="20"/>
          <w:szCs w:val="20"/>
        </w:rPr>
        <w:t>thereunder</w:t>
      </w:r>
      <w:proofErr w:type="spellEnd"/>
      <w:r w:rsidRPr="007857F8">
        <w:rPr>
          <w:rFonts w:ascii="Book Antiqua" w:hAnsi="Book Antiqua" w:cs="Arial"/>
          <w:sz w:val="20"/>
          <w:szCs w:val="20"/>
        </w:rPr>
        <w:t>, including any modifications, clarifications, circulars or re-enactment thereof.</w:t>
      </w: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r w:rsidRPr="007857F8">
        <w:rPr>
          <w:rFonts w:ascii="Book Antiqua" w:hAnsi="Book Antiqua" w:cs="Arial"/>
          <w:b/>
          <w:bCs/>
          <w:sz w:val="20"/>
          <w:szCs w:val="20"/>
        </w:rPr>
        <w:t xml:space="preserve">“Board of Directors” </w:t>
      </w:r>
      <w:r w:rsidRPr="007857F8">
        <w:rPr>
          <w:rFonts w:ascii="Book Antiqua" w:hAnsi="Book Antiqua" w:cs="Arial"/>
          <w:sz w:val="20"/>
          <w:szCs w:val="20"/>
        </w:rPr>
        <w:t xml:space="preserve">or </w:t>
      </w:r>
      <w:r w:rsidRPr="007857F8">
        <w:rPr>
          <w:rFonts w:ascii="Book Antiqua" w:hAnsi="Book Antiqua" w:cs="Arial"/>
          <w:b/>
          <w:bCs/>
          <w:sz w:val="20"/>
          <w:szCs w:val="20"/>
        </w:rPr>
        <w:t xml:space="preserve">“Board” </w:t>
      </w:r>
      <w:r w:rsidRPr="007857F8">
        <w:rPr>
          <w:rFonts w:ascii="Book Antiqua" w:hAnsi="Book Antiqua" w:cs="Arial"/>
          <w:sz w:val="20"/>
          <w:szCs w:val="20"/>
        </w:rPr>
        <w:t xml:space="preserve">means the Board of Directors of </w:t>
      </w:r>
      <w:proofErr w:type="spellStart"/>
      <w:r w:rsidRPr="007857F8">
        <w:rPr>
          <w:rFonts w:ascii="Book Antiqua" w:hAnsi="Book Antiqua" w:cs="Arial"/>
          <w:sz w:val="20"/>
          <w:szCs w:val="20"/>
        </w:rPr>
        <w:t>Vardhman</w:t>
      </w:r>
      <w:proofErr w:type="spellEnd"/>
      <w:r w:rsidRPr="007857F8">
        <w:rPr>
          <w:rFonts w:ascii="Book Antiqua" w:hAnsi="Book Antiqua" w:cs="Arial"/>
          <w:sz w:val="20"/>
          <w:szCs w:val="20"/>
        </w:rPr>
        <w:t xml:space="preserve"> Concrete Limited, as constituted from time to time.</w:t>
      </w: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r w:rsidRPr="007857F8">
        <w:rPr>
          <w:rFonts w:ascii="Book Antiqua" w:hAnsi="Book Antiqua" w:cs="Arial"/>
          <w:b/>
          <w:bCs/>
          <w:sz w:val="20"/>
          <w:szCs w:val="20"/>
        </w:rPr>
        <w:t xml:space="preserve">“Company” </w:t>
      </w:r>
      <w:r w:rsidRPr="007857F8">
        <w:rPr>
          <w:rFonts w:ascii="Book Antiqua" w:hAnsi="Book Antiqua" w:cs="Arial"/>
          <w:sz w:val="20"/>
          <w:szCs w:val="20"/>
        </w:rPr>
        <w:t xml:space="preserve">means </w:t>
      </w:r>
      <w:r w:rsidR="0089690B">
        <w:rPr>
          <w:rFonts w:ascii="Book Antiqua" w:hAnsi="Book Antiqua" w:cs="Arial"/>
          <w:sz w:val="20"/>
          <w:szCs w:val="20"/>
        </w:rPr>
        <w:t>TRC Financial Services Limited</w:t>
      </w:r>
      <w:r w:rsidRPr="007857F8">
        <w:rPr>
          <w:rFonts w:ascii="Book Antiqua" w:hAnsi="Book Antiqua" w:cs="Arial"/>
          <w:sz w:val="20"/>
          <w:szCs w:val="20"/>
        </w:rPr>
        <w:t>.</w:t>
      </w: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r w:rsidRPr="007857F8">
        <w:rPr>
          <w:rFonts w:ascii="Book Antiqua" w:hAnsi="Book Antiqua" w:cs="Arial"/>
          <w:b/>
          <w:bCs/>
          <w:sz w:val="20"/>
          <w:szCs w:val="20"/>
        </w:rPr>
        <w:t xml:space="preserve">“Key Managerial Personnel” </w:t>
      </w:r>
      <w:r w:rsidRPr="007857F8">
        <w:rPr>
          <w:rFonts w:ascii="Book Antiqua" w:hAnsi="Book Antiqua" w:cs="Arial"/>
          <w:sz w:val="20"/>
          <w:szCs w:val="20"/>
        </w:rPr>
        <w:t>mean key managerial personnel as defined in subsection (51) of section 2 of the Companies Act, 2013;</w:t>
      </w: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r w:rsidRPr="007857F8">
        <w:rPr>
          <w:rFonts w:ascii="Book Antiqua" w:hAnsi="Book Antiqua" w:cs="Arial"/>
          <w:b/>
          <w:bCs/>
          <w:sz w:val="20"/>
          <w:szCs w:val="20"/>
        </w:rPr>
        <w:t xml:space="preserve">“Material Event” or “Material Information” </w:t>
      </w:r>
      <w:r w:rsidRPr="007857F8">
        <w:rPr>
          <w:rFonts w:ascii="Book Antiqua" w:hAnsi="Book Antiqua" w:cs="Arial"/>
          <w:sz w:val="20"/>
          <w:szCs w:val="20"/>
        </w:rPr>
        <w:t>shall mean such event or information as set out in the Schedule or as may be determined in terms of Clause 3 of the Policy. In the Policy, the words, “material” and “materiality” shall be construed accordingly.</w:t>
      </w: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r w:rsidRPr="007857F8">
        <w:rPr>
          <w:rFonts w:ascii="Book Antiqua" w:hAnsi="Book Antiqua" w:cs="Arial"/>
          <w:b/>
          <w:bCs/>
          <w:sz w:val="20"/>
          <w:szCs w:val="20"/>
        </w:rPr>
        <w:t xml:space="preserve">“Material Subsidiary” </w:t>
      </w:r>
      <w:r w:rsidRPr="007857F8">
        <w:rPr>
          <w:rFonts w:ascii="Book Antiqua" w:hAnsi="Book Antiqua" w:cs="Arial"/>
          <w:sz w:val="20"/>
          <w:szCs w:val="20"/>
        </w:rPr>
        <w:t>shall mean any subsidiary company of the Company which is or has been determined as a material subsidiary as per the provisions of the Regulations.</w:t>
      </w: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r w:rsidRPr="007857F8">
        <w:rPr>
          <w:rFonts w:ascii="Book Antiqua" w:hAnsi="Book Antiqua" w:cs="Arial"/>
          <w:b/>
          <w:bCs/>
          <w:sz w:val="20"/>
          <w:szCs w:val="20"/>
        </w:rPr>
        <w:t xml:space="preserve">“Policy” </w:t>
      </w:r>
      <w:r w:rsidRPr="007857F8">
        <w:rPr>
          <w:rFonts w:ascii="Book Antiqua" w:hAnsi="Book Antiqua" w:cs="Arial"/>
          <w:sz w:val="20"/>
          <w:szCs w:val="20"/>
        </w:rPr>
        <w:t>means this Policy on criteria for determining Materiality of events or information and as may be amended from time to time.</w:t>
      </w: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r w:rsidRPr="007857F8">
        <w:rPr>
          <w:rFonts w:ascii="Book Antiqua" w:hAnsi="Book Antiqua" w:cs="Arial"/>
          <w:b/>
          <w:bCs/>
          <w:sz w:val="20"/>
          <w:szCs w:val="20"/>
        </w:rPr>
        <w:t xml:space="preserve">“Regulations” </w:t>
      </w:r>
      <w:r w:rsidRPr="007857F8">
        <w:rPr>
          <w:rFonts w:ascii="Book Antiqua" w:hAnsi="Book Antiqua" w:cs="Arial"/>
          <w:sz w:val="20"/>
          <w:szCs w:val="20"/>
        </w:rPr>
        <w:t>mean Securities and Exchange Board of India (Listing Obligations and Disclosure Requirements) Regulations, 2015 including any modifications, clarifications, circulars or re-enactment thereof.</w:t>
      </w: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r w:rsidRPr="007857F8">
        <w:rPr>
          <w:rFonts w:ascii="Book Antiqua" w:hAnsi="Book Antiqua" w:cs="Arial"/>
          <w:b/>
          <w:bCs/>
          <w:sz w:val="20"/>
          <w:szCs w:val="20"/>
        </w:rPr>
        <w:t xml:space="preserve">"Schedule" </w:t>
      </w:r>
      <w:r w:rsidRPr="007857F8">
        <w:rPr>
          <w:rFonts w:ascii="Book Antiqua" w:hAnsi="Book Antiqua" w:cs="Arial"/>
          <w:sz w:val="20"/>
          <w:szCs w:val="20"/>
        </w:rPr>
        <w:t xml:space="preserve">means a Schedule III of (Listing Obligations and Disclosure Requirements) Regulations, 2015. </w:t>
      </w: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r w:rsidRPr="007857F8">
        <w:rPr>
          <w:rFonts w:ascii="Book Antiqua" w:hAnsi="Book Antiqua" w:cs="Arial"/>
          <w:sz w:val="20"/>
          <w:szCs w:val="20"/>
        </w:rPr>
        <w:t>Any other term not defined herein shall have the same meaning as defined in the Companies Act, 2013, Regulations or any other applicable law or regulation to the extent applicable to the Company.</w:t>
      </w:r>
    </w:p>
    <w:p w:rsidR="005A0203" w:rsidRPr="007857F8" w:rsidRDefault="005A0203" w:rsidP="005A0203">
      <w:pPr>
        <w:spacing w:after="0" w:line="240" w:lineRule="auto"/>
        <w:rPr>
          <w:rFonts w:ascii="Book Antiqua" w:hAnsi="Book Antiqua" w:cs="Arial"/>
          <w:sz w:val="20"/>
          <w:szCs w:val="20"/>
        </w:rPr>
      </w:pPr>
    </w:p>
    <w:p w:rsidR="005A0203" w:rsidRPr="007857F8" w:rsidRDefault="005A0203" w:rsidP="005A0203">
      <w:pPr>
        <w:pStyle w:val="ListParagraph"/>
        <w:numPr>
          <w:ilvl w:val="0"/>
          <w:numId w:val="33"/>
        </w:numPr>
        <w:autoSpaceDE w:val="0"/>
        <w:autoSpaceDN w:val="0"/>
        <w:adjustRightInd w:val="0"/>
        <w:spacing w:after="0" w:line="240" w:lineRule="auto"/>
        <w:ind w:left="360"/>
        <w:jc w:val="both"/>
        <w:rPr>
          <w:rFonts w:ascii="Book Antiqua" w:hAnsi="Book Antiqua" w:cs="Arial"/>
          <w:b/>
          <w:bCs/>
          <w:sz w:val="20"/>
          <w:szCs w:val="20"/>
        </w:rPr>
      </w:pPr>
      <w:r w:rsidRPr="007857F8">
        <w:rPr>
          <w:rFonts w:ascii="Book Antiqua" w:hAnsi="Book Antiqua" w:cs="Arial"/>
          <w:b/>
          <w:bCs/>
          <w:sz w:val="20"/>
          <w:szCs w:val="20"/>
        </w:rPr>
        <w:t>GUIDELINES FOR DETERMINING MATERIALITY OF EVENTS OR INFORMATION</w:t>
      </w: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r w:rsidRPr="007857F8">
        <w:rPr>
          <w:rFonts w:ascii="Book Antiqua" w:hAnsi="Book Antiqua" w:cs="Arial"/>
          <w:sz w:val="20"/>
          <w:szCs w:val="20"/>
        </w:rPr>
        <w:t>Events / information shall be considered as Material if it meets any of the following criteria:</w:t>
      </w: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p>
    <w:p w:rsidR="005A0203" w:rsidRPr="007857F8" w:rsidRDefault="005A0203" w:rsidP="005A0203">
      <w:pPr>
        <w:pStyle w:val="ListParagraph"/>
        <w:numPr>
          <w:ilvl w:val="0"/>
          <w:numId w:val="34"/>
        </w:numPr>
        <w:autoSpaceDE w:val="0"/>
        <w:autoSpaceDN w:val="0"/>
        <w:adjustRightInd w:val="0"/>
        <w:spacing w:after="0" w:line="240" w:lineRule="auto"/>
        <w:ind w:left="720"/>
        <w:jc w:val="both"/>
        <w:rPr>
          <w:rFonts w:ascii="Book Antiqua" w:hAnsi="Book Antiqua" w:cs="Arial"/>
          <w:sz w:val="20"/>
          <w:szCs w:val="20"/>
        </w:rPr>
      </w:pPr>
      <w:r w:rsidRPr="007857F8">
        <w:rPr>
          <w:rFonts w:ascii="Book Antiqua" w:hAnsi="Book Antiqua" w:cs="Arial"/>
          <w:sz w:val="20"/>
          <w:szCs w:val="20"/>
        </w:rPr>
        <w:t>the event or information is in any manner unpublished price sensitive information;</w:t>
      </w:r>
    </w:p>
    <w:p w:rsidR="005A0203" w:rsidRPr="007857F8" w:rsidRDefault="005A0203" w:rsidP="005A0203">
      <w:pPr>
        <w:pStyle w:val="ListParagraph"/>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pStyle w:val="ListParagraph"/>
        <w:numPr>
          <w:ilvl w:val="0"/>
          <w:numId w:val="34"/>
        </w:numPr>
        <w:autoSpaceDE w:val="0"/>
        <w:autoSpaceDN w:val="0"/>
        <w:adjustRightInd w:val="0"/>
        <w:spacing w:after="0" w:line="240" w:lineRule="auto"/>
        <w:ind w:left="720"/>
        <w:jc w:val="both"/>
        <w:rPr>
          <w:rFonts w:ascii="Book Antiqua" w:hAnsi="Book Antiqua" w:cs="Arial"/>
          <w:sz w:val="20"/>
          <w:szCs w:val="20"/>
        </w:rPr>
      </w:pPr>
      <w:r w:rsidRPr="007857F8">
        <w:rPr>
          <w:rFonts w:ascii="Book Antiqua" w:hAnsi="Book Antiqua" w:cs="Arial"/>
          <w:sz w:val="20"/>
          <w:szCs w:val="20"/>
        </w:rPr>
        <w:t>the omission of an event or information, which is likely to result in discontinuity or alteration of event or information already available publicly;</w:t>
      </w:r>
    </w:p>
    <w:p w:rsidR="005A0203" w:rsidRPr="007857F8" w:rsidRDefault="005A0203" w:rsidP="005A0203">
      <w:pPr>
        <w:pStyle w:val="ListParagraph"/>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pStyle w:val="ListParagraph"/>
        <w:numPr>
          <w:ilvl w:val="0"/>
          <w:numId w:val="34"/>
        </w:numPr>
        <w:autoSpaceDE w:val="0"/>
        <w:autoSpaceDN w:val="0"/>
        <w:adjustRightInd w:val="0"/>
        <w:spacing w:after="0" w:line="240" w:lineRule="auto"/>
        <w:ind w:left="720"/>
        <w:jc w:val="both"/>
        <w:rPr>
          <w:rFonts w:ascii="Book Antiqua" w:hAnsi="Book Antiqua" w:cs="Arial"/>
          <w:sz w:val="20"/>
          <w:szCs w:val="20"/>
        </w:rPr>
      </w:pPr>
      <w:r w:rsidRPr="007857F8">
        <w:rPr>
          <w:rFonts w:ascii="Book Antiqua" w:hAnsi="Book Antiqua" w:cs="Arial"/>
          <w:sz w:val="20"/>
          <w:szCs w:val="20"/>
        </w:rPr>
        <w:t>the omission of an event or information is likely to result in significant market reaction if the said omission came to light at a later date; and</w:t>
      </w:r>
    </w:p>
    <w:p w:rsidR="005A0203" w:rsidRPr="007857F8" w:rsidRDefault="005A0203" w:rsidP="005A0203">
      <w:pPr>
        <w:pStyle w:val="ListParagraph"/>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pStyle w:val="ListParagraph"/>
        <w:numPr>
          <w:ilvl w:val="0"/>
          <w:numId w:val="34"/>
        </w:numPr>
        <w:autoSpaceDE w:val="0"/>
        <w:autoSpaceDN w:val="0"/>
        <w:adjustRightInd w:val="0"/>
        <w:spacing w:after="0" w:line="240" w:lineRule="auto"/>
        <w:ind w:left="720"/>
        <w:jc w:val="both"/>
        <w:rPr>
          <w:rFonts w:ascii="Book Antiqua" w:hAnsi="Book Antiqua" w:cs="Arial"/>
          <w:sz w:val="20"/>
          <w:szCs w:val="20"/>
        </w:rPr>
      </w:pPr>
      <w:proofErr w:type="gramStart"/>
      <w:r w:rsidRPr="007857F8">
        <w:rPr>
          <w:rFonts w:ascii="Book Antiqua" w:hAnsi="Book Antiqua" w:cs="Arial"/>
          <w:sz w:val="20"/>
          <w:szCs w:val="20"/>
        </w:rPr>
        <w:lastRenderedPageBreak/>
        <w:t>any</w:t>
      </w:r>
      <w:proofErr w:type="gramEnd"/>
      <w:r w:rsidRPr="007857F8">
        <w:rPr>
          <w:rFonts w:ascii="Book Antiqua" w:hAnsi="Book Antiqua" w:cs="Arial"/>
          <w:sz w:val="20"/>
          <w:szCs w:val="20"/>
        </w:rPr>
        <w:t xml:space="preserve"> other event/information which is treated as being material in the opinion of the Board of Directors of the Company.</w:t>
      </w: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pStyle w:val="ListParagraph"/>
        <w:numPr>
          <w:ilvl w:val="0"/>
          <w:numId w:val="33"/>
        </w:numPr>
        <w:autoSpaceDE w:val="0"/>
        <w:autoSpaceDN w:val="0"/>
        <w:adjustRightInd w:val="0"/>
        <w:spacing w:after="0" w:line="240" w:lineRule="auto"/>
        <w:ind w:left="360"/>
        <w:jc w:val="both"/>
        <w:rPr>
          <w:rFonts w:ascii="Book Antiqua" w:hAnsi="Book Antiqua" w:cs="Arial"/>
          <w:b/>
          <w:bCs/>
          <w:sz w:val="20"/>
          <w:szCs w:val="20"/>
        </w:rPr>
      </w:pPr>
      <w:r w:rsidRPr="007857F8">
        <w:rPr>
          <w:rFonts w:ascii="Book Antiqua" w:hAnsi="Book Antiqua" w:cs="Arial"/>
          <w:b/>
          <w:bCs/>
          <w:sz w:val="20"/>
          <w:szCs w:val="20"/>
        </w:rPr>
        <w:t>DISCLOSURES OF EVENTS OR INFORMATION</w:t>
      </w: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pStyle w:val="ListParagraph"/>
        <w:numPr>
          <w:ilvl w:val="0"/>
          <w:numId w:val="35"/>
        </w:numPr>
        <w:autoSpaceDE w:val="0"/>
        <w:autoSpaceDN w:val="0"/>
        <w:adjustRightInd w:val="0"/>
        <w:spacing w:after="0" w:line="240" w:lineRule="auto"/>
        <w:jc w:val="both"/>
        <w:rPr>
          <w:rFonts w:ascii="Book Antiqua" w:hAnsi="Book Antiqua" w:cs="Arial"/>
          <w:sz w:val="20"/>
          <w:szCs w:val="20"/>
        </w:rPr>
      </w:pPr>
      <w:r w:rsidRPr="007857F8">
        <w:rPr>
          <w:rFonts w:ascii="Book Antiqua" w:hAnsi="Book Antiqua" w:cs="Arial"/>
          <w:sz w:val="20"/>
          <w:szCs w:val="20"/>
        </w:rPr>
        <w:t>Events specified in Annexure A are deemed to be material events and the Company shall make disclosure to of such events or information as soon as reasonably possible and not later than twenty-four (24) hours from the occurrence of such event or information in the following manner:</w:t>
      </w:r>
    </w:p>
    <w:p w:rsidR="005A0203" w:rsidRPr="007857F8" w:rsidRDefault="005A0203" w:rsidP="005A0203">
      <w:pPr>
        <w:pStyle w:val="ListParagraph"/>
        <w:autoSpaceDE w:val="0"/>
        <w:autoSpaceDN w:val="0"/>
        <w:adjustRightInd w:val="0"/>
        <w:spacing w:after="0" w:line="240" w:lineRule="auto"/>
        <w:ind w:left="1440"/>
        <w:jc w:val="both"/>
        <w:rPr>
          <w:rFonts w:ascii="Book Antiqua" w:hAnsi="Book Antiqua" w:cs="Arial"/>
          <w:sz w:val="20"/>
          <w:szCs w:val="20"/>
        </w:rPr>
      </w:pPr>
    </w:p>
    <w:p w:rsidR="005A0203" w:rsidRPr="007857F8" w:rsidRDefault="005A0203" w:rsidP="005A0203">
      <w:pPr>
        <w:pStyle w:val="ListParagraph"/>
        <w:numPr>
          <w:ilvl w:val="0"/>
          <w:numId w:val="36"/>
        </w:numPr>
        <w:autoSpaceDE w:val="0"/>
        <w:autoSpaceDN w:val="0"/>
        <w:adjustRightInd w:val="0"/>
        <w:spacing w:after="0" w:line="240" w:lineRule="auto"/>
        <w:ind w:left="1440"/>
        <w:jc w:val="both"/>
        <w:rPr>
          <w:rFonts w:ascii="Book Antiqua" w:hAnsi="Book Antiqua" w:cs="Arial"/>
          <w:sz w:val="20"/>
          <w:szCs w:val="20"/>
        </w:rPr>
      </w:pPr>
      <w:r w:rsidRPr="007857F8">
        <w:rPr>
          <w:rFonts w:ascii="Book Antiqua" w:hAnsi="Book Antiqua" w:cs="Arial"/>
          <w:sz w:val="20"/>
          <w:szCs w:val="20"/>
        </w:rPr>
        <w:t>inform the stock exchanges in which the securities of the Company are listed;</w:t>
      </w:r>
    </w:p>
    <w:p w:rsidR="005A0203" w:rsidRPr="007857F8" w:rsidRDefault="005A0203" w:rsidP="005A0203">
      <w:pPr>
        <w:pStyle w:val="ListParagraph"/>
        <w:numPr>
          <w:ilvl w:val="0"/>
          <w:numId w:val="36"/>
        </w:numPr>
        <w:autoSpaceDE w:val="0"/>
        <w:autoSpaceDN w:val="0"/>
        <w:adjustRightInd w:val="0"/>
        <w:spacing w:after="0" w:line="240" w:lineRule="auto"/>
        <w:ind w:left="1440"/>
        <w:jc w:val="both"/>
        <w:rPr>
          <w:rFonts w:ascii="Book Antiqua" w:hAnsi="Book Antiqua" w:cs="Arial"/>
          <w:sz w:val="20"/>
          <w:szCs w:val="20"/>
        </w:rPr>
      </w:pPr>
      <w:r w:rsidRPr="007857F8">
        <w:rPr>
          <w:rFonts w:ascii="Book Antiqua" w:hAnsi="Book Antiqua" w:cs="Arial"/>
          <w:sz w:val="20"/>
          <w:szCs w:val="20"/>
        </w:rPr>
        <w:t>Upload on the corporate website of the Company.</w:t>
      </w:r>
    </w:p>
    <w:p w:rsidR="005A0203" w:rsidRPr="007857F8" w:rsidRDefault="005A0203" w:rsidP="005A0203">
      <w:pPr>
        <w:autoSpaceDE w:val="0"/>
        <w:autoSpaceDN w:val="0"/>
        <w:adjustRightInd w:val="0"/>
        <w:spacing w:after="0" w:line="240" w:lineRule="auto"/>
        <w:ind w:left="720"/>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ind w:left="720"/>
        <w:jc w:val="both"/>
        <w:rPr>
          <w:rFonts w:ascii="Book Antiqua" w:hAnsi="Book Antiqua" w:cs="Arial"/>
          <w:sz w:val="20"/>
          <w:szCs w:val="20"/>
        </w:rPr>
      </w:pPr>
      <w:r w:rsidRPr="007857F8">
        <w:rPr>
          <w:rFonts w:ascii="Book Antiqua" w:hAnsi="Book Antiqua" w:cs="Arial"/>
          <w:sz w:val="20"/>
          <w:szCs w:val="20"/>
        </w:rPr>
        <w:t>Provided that in case the disclosure is made after twenty-four (24) hours of occurrence of such event or information, the Company shall, along with such disclosure(s) provide an explanation for delay</w:t>
      </w: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pStyle w:val="ListParagraph"/>
        <w:numPr>
          <w:ilvl w:val="0"/>
          <w:numId w:val="35"/>
        </w:numPr>
        <w:autoSpaceDE w:val="0"/>
        <w:autoSpaceDN w:val="0"/>
        <w:adjustRightInd w:val="0"/>
        <w:spacing w:after="0" w:line="240" w:lineRule="auto"/>
        <w:jc w:val="both"/>
        <w:rPr>
          <w:rFonts w:ascii="Book Antiqua" w:hAnsi="Book Antiqua" w:cs="Arial"/>
          <w:sz w:val="20"/>
          <w:szCs w:val="20"/>
        </w:rPr>
      </w:pPr>
      <w:r w:rsidRPr="007857F8">
        <w:rPr>
          <w:rFonts w:ascii="Book Antiqua" w:hAnsi="Book Antiqua" w:cs="Arial"/>
          <w:sz w:val="20"/>
          <w:szCs w:val="20"/>
        </w:rPr>
        <w:t>The Company shall make disclosure of events as specified in Annexure B based on application of guidelines for determining Materiality as per clause 3 of the Policy.</w:t>
      </w:r>
    </w:p>
    <w:p w:rsidR="005A0203" w:rsidRPr="007857F8" w:rsidRDefault="005A0203" w:rsidP="005A0203">
      <w:pPr>
        <w:pStyle w:val="ListParagraph"/>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pStyle w:val="ListParagraph"/>
        <w:numPr>
          <w:ilvl w:val="0"/>
          <w:numId w:val="35"/>
        </w:numPr>
        <w:autoSpaceDE w:val="0"/>
        <w:autoSpaceDN w:val="0"/>
        <w:adjustRightInd w:val="0"/>
        <w:spacing w:after="0" w:line="240" w:lineRule="auto"/>
        <w:jc w:val="both"/>
        <w:rPr>
          <w:rFonts w:ascii="Book Antiqua" w:hAnsi="Book Antiqua" w:cs="Arial"/>
          <w:sz w:val="20"/>
          <w:szCs w:val="20"/>
        </w:rPr>
      </w:pPr>
      <w:r w:rsidRPr="007857F8">
        <w:rPr>
          <w:rFonts w:ascii="Book Antiqua" w:hAnsi="Book Antiqua" w:cs="Arial"/>
          <w:sz w:val="20"/>
          <w:szCs w:val="20"/>
        </w:rPr>
        <w:t>The Company shall make disclosures updating Material developments on a regular basis, till such time the event is resolved / closed, with relevant explanations.</w:t>
      </w:r>
    </w:p>
    <w:p w:rsidR="005A0203" w:rsidRPr="007857F8" w:rsidRDefault="005A0203" w:rsidP="005A0203">
      <w:pPr>
        <w:pStyle w:val="ListParagraph"/>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pStyle w:val="ListParagraph"/>
        <w:numPr>
          <w:ilvl w:val="0"/>
          <w:numId w:val="35"/>
        </w:numPr>
        <w:autoSpaceDE w:val="0"/>
        <w:autoSpaceDN w:val="0"/>
        <w:adjustRightInd w:val="0"/>
        <w:spacing w:after="0" w:line="240" w:lineRule="auto"/>
        <w:jc w:val="both"/>
        <w:rPr>
          <w:rFonts w:ascii="Book Antiqua" w:hAnsi="Book Antiqua" w:cs="Arial"/>
          <w:sz w:val="20"/>
          <w:szCs w:val="20"/>
        </w:rPr>
      </w:pPr>
      <w:r w:rsidRPr="007857F8">
        <w:rPr>
          <w:rFonts w:ascii="Book Antiqua" w:hAnsi="Book Antiqua" w:cs="Arial"/>
          <w:sz w:val="20"/>
          <w:szCs w:val="20"/>
        </w:rPr>
        <w:t>The Company shall provide specific and adequate reply to all queries raised by stock exchange(s) with respect to any events or information and on its own initiative. Further it shall confirm or deny any event or information to stock exchange(s) reported in the media.</w:t>
      </w:r>
    </w:p>
    <w:p w:rsidR="005A0203" w:rsidRPr="007857F8" w:rsidRDefault="005A0203" w:rsidP="005A0203">
      <w:pPr>
        <w:pStyle w:val="ListParagraph"/>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pStyle w:val="ListParagraph"/>
        <w:numPr>
          <w:ilvl w:val="0"/>
          <w:numId w:val="35"/>
        </w:numPr>
        <w:autoSpaceDE w:val="0"/>
        <w:autoSpaceDN w:val="0"/>
        <w:adjustRightInd w:val="0"/>
        <w:spacing w:after="0" w:line="240" w:lineRule="auto"/>
        <w:jc w:val="both"/>
        <w:rPr>
          <w:rFonts w:ascii="Book Antiqua" w:hAnsi="Book Antiqua" w:cs="Arial"/>
          <w:sz w:val="20"/>
          <w:szCs w:val="20"/>
        </w:rPr>
      </w:pPr>
      <w:r w:rsidRPr="007857F8">
        <w:rPr>
          <w:rFonts w:ascii="Book Antiqua" w:hAnsi="Book Antiqua" w:cs="Arial"/>
          <w:sz w:val="20"/>
          <w:szCs w:val="20"/>
        </w:rPr>
        <w:t>In case where an event occurs or information is available with the Company, the Company will make adequate disclosures in regard thereof.</w:t>
      </w: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7857F8" w:rsidRDefault="005A0203" w:rsidP="007857F8">
      <w:pPr>
        <w:spacing w:after="0" w:line="240" w:lineRule="auto"/>
        <w:ind w:left="360"/>
        <w:jc w:val="both"/>
        <w:rPr>
          <w:rFonts w:ascii="Book Antiqua" w:hAnsi="Book Antiqua" w:cs="Arial"/>
          <w:sz w:val="20"/>
          <w:szCs w:val="20"/>
        </w:rPr>
      </w:pPr>
      <w:r w:rsidRPr="007857F8">
        <w:rPr>
          <w:rFonts w:ascii="Book Antiqua" w:hAnsi="Book Antiqua" w:cs="Arial"/>
          <w:sz w:val="20"/>
          <w:szCs w:val="20"/>
        </w:rPr>
        <w:t>All the above disclosures would be hosted on the website of the Company for a minimum period of five years and thereafter archived as per Company’s policy for Preservation and Archival of Documents</w:t>
      </w:r>
    </w:p>
    <w:p w:rsidR="007857F8" w:rsidRDefault="007857F8" w:rsidP="007857F8">
      <w:pPr>
        <w:spacing w:after="0" w:line="240" w:lineRule="auto"/>
        <w:ind w:left="360"/>
        <w:jc w:val="both"/>
        <w:rPr>
          <w:rFonts w:ascii="Book Antiqua" w:hAnsi="Book Antiqua" w:cs="Arial"/>
          <w:sz w:val="20"/>
          <w:szCs w:val="20"/>
        </w:rPr>
      </w:pPr>
    </w:p>
    <w:p w:rsidR="005A0203" w:rsidRPr="007857F8" w:rsidRDefault="005A0203" w:rsidP="007857F8">
      <w:pPr>
        <w:pStyle w:val="ListParagraph"/>
        <w:numPr>
          <w:ilvl w:val="0"/>
          <w:numId w:val="33"/>
        </w:numPr>
        <w:autoSpaceDE w:val="0"/>
        <w:autoSpaceDN w:val="0"/>
        <w:adjustRightInd w:val="0"/>
        <w:spacing w:after="0" w:line="240" w:lineRule="auto"/>
        <w:ind w:left="360"/>
        <w:jc w:val="both"/>
        <w:rPr>
          <w:rFonts w:ascii="Book Antiqua" w:hAnsi="Book Antiqua" w:cs="Arial"/>
          <w:sz w:val="20"/>
          <w:szCs w:val="20"/>
        </w:rPr>
      </w:pPr>
      <w:r w:rsidRPr="007857F8">
        <w:rPr>
          <w:rFonts w:ascii="Book Antiqua" w:hAnsi="Book Antiqua" w:cs="Arial"/>
          <w:b/>
          <w:bCs/>
          <w:sz w:val="20"/>
          <w:szCs w:val="20"/>
        </w:rPr>
        <w:t>AUTHORITY TO DIRECTOR</w:t>
      </w: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r w:rsidRPr="007857F8">
        <w:rPr>
          <w:rFonts w:ascii="Book Antiqua" w:hAnsi="Book Antiqua" w:cs="Arial"/>
          <w:sz w:val="20"/>
          <w:szCs w:val="20"/>
        </w:rPr>
        <w:t>Board of Directors of the Company shall authorize any of the KMP’s or Director to determine Materiality of any event or information and ensure disclosures of the same are made to stock exchange(s), subject to the provisions of this Policy.</w:t>
      </w: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p>
    <w:p w:rsidR="005A0203" w:rsidRPr="007857F8" w:rsidRDefault="005A0203" w:rsidP="005A0203">
      <w:pPr>
        <w:pStyle w:val="ListParagraph"/>
        <w:numPr>
          <w:ilvl w:val="0"/>
          <w:numId w:val="33"/>
        </w:numPr>
        <w:autoSpaceDE w:val="0"/>
        <w:autoSpaceDN w:val="0"/>
        <w:adjustRightInd w:val="0"/>
        <w:spacing w:after="0" w:line="240" w:lineRule="auto"/>
        <w:ind w:left="360"/>
        <w:jc w:val="both"/>
        <w:rPr>
          <w:rFonts w:ascii="Book Antiqua" w:hAnsi="Book Antiqua" w:cs="Arial"/>
          <w:b/>
          <w:bCs/>
          <w:sz w:val="20"/>
          <w:szCs w:val="20"/>
        </w:rPr>
      </w:pPr>
      <w:r w:rsidRPr="007857F8">
        <w:rPr>
          <w:rFonts w:ascii="Book Antiqua" w:hAnsi="Book Antiqua" w:cs="Arial"/>
          <w:b/>
          <w:bCs/>
          <w:sz w:val="20"/>
          <w:szCs w:val="20"/>
        </w:rPr>
        <w:t>AMENDMENTS</w:t>
      </w: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r w:rsidRPr="007857F8">
        <w:rPr>
          <w:rFonts w:ascii="Book Antiqua" w:hAnsi="Book Antiqua" w:cs="Arial"/>
          <w:sz w:val="20"/>
          <w:szCs w:val="20"/>
        </w:rPr>
        <w:t>The Board may subject to the applicable laws amend any provision(s) or substitute any of the provision(s) with the new provision(s) or replace the Policy entirely with a new Policy. However, no such amendment or modification shall be inconsistent with the applicable provisions of any law for the time being in force.</w:t>
      </w: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pStyle w:val="ListParagraph"/>
        <w:numPr>
          <w:ilvl w:val="0"/>
          <w:numId w:val="33"/>
        </w:numPr>
        <w:autoSpaceDE w:val="0"/>
        <w:autoSpaceDN w:val="0"/>
        <w:adjustRightInd w:val="0"/>
        <w:spacing w:after="0" w:line="240" w:lineRule="auto"/>
        <w:ind w:left="360"/>
        <w:jc w:val="both"/>
        <w:rPr>
          <w:rFonts w:ascii="Book Antiqua" w:hAnsi="Book Antiqua" w:cs="Arial"/>
          <w:b/>
          <w:bCs/>
          <w:sz w:val="20"/>
          <w:szCs w:val="20"/>
        </w:rPr>
      </w:pPr>
      <w:r w:rsidRPr="007857F8">
        <w:rPr>
          <w:rFonts w:ascii="Book Antiqua" w:hAnsi="Book Antiqua" w:cs="Arial"/>
          <w:b/>
          <w:bCs/>
          <w:sz w:val="20"/>
          <w:szCs w:val="20"/>
        </w:rPr>
        <w:t>SCOPE AND LIMITATION</w:t>
      </w: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autoSpaceDE w:val="0"/>
        <w:autoSpaceDN w:val="0"/>
        <w:adjustRightInd w:val="0"/>
        <w:spacing w:after="0" w:line="240" w:lineRule="auto"/>
        <w:ind w:left="360"/>
        <w:jc w:val="both"/>
        <w:rPr>
          <w:rFonts w:ascii="Book Antiqua" w:hAnsi="Book Antiqua" w:cs="Arial"/>
          <w:sz w:val="20"/>
          <w:szCs w:val="20"/>
        </w:rPr>
      </w:pPr>
      <w:r w:rsidRPr="007857F8">
        <w:rPr>
          <w:rFonts w:ascii="Book Antiqua" w:hAnsi="Book Antiqua" w:cs="Arial"/>
          <w:sz w:val="20"/>
          <w:szCs w:val="20"/>
        </w:rPr>
        <w:t>In the event of any conflict between the provisions of this Policy; Companies Act, 2013; Regulations or any other statutory enactments, rules, the provisions of Companies Act, 2013 or statutory enactments, rules shall prevail over this Policy and the part(s) so repugnant shall be deemed to severed from the Policy and the rest of the Policy shall remain in force.</w:t>
      </w: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7857F8" w:rsidRDefault="007857F8">
      <w:pPr>
        <w:rPr>
          <w:rFonts w:ascii="Book Antiqua" w:hAnsi="Book Antiqua" w:cs="Arial"/>
          <w:sz w:val="20"/>
          <w:szCs w:val="20"/>
        </w:rPr>
      </w:pPr>
      <w:r>
        <w:rPr>
          <w:rFonts w:ascii="Book Antiqua" w:hAnsi="Book Antiqua" w:cs="Arial"/>
          <w:sz w:val="20"/>
          <w:szCs w:val="20"/>
        </w:rPr>
        <w:br w:type="page"/>
      </w:r>
    </w:p>
    <w:p w:rsidR="005A0203" w:rsidRPr="007857F8" w:rsidRDefault="005A0203" w:rsidP="007857F8">
      <w:pPr>
        <w:spacing w:after="0" w:line="240" w:lineRule="auto"/>
        <w:jc w:val="center"/>
        <w:rPr>
          <w:rFonts w:ascii="Book Antiqua" w:hAnsi="Book Antiqua" w:cs="Arial"/>
          <w:b/>
          <w:bCs/>
          <w:sz w:val="20"/>
          <w:szCs w:val="20"/>
        </w:rPr>
      </w:pPr>
      <w:r w:rsidRPr="007857F8">
        <w:rPr>
          <w:rFonts w:ascii="Book Antiqua" w:hAnsi="Book Antiqua" w:cs="Arial"/>
          <w:b/>
          <w:bCs/>
          <w:sz w:val="20"/>
          <w:szCs w:val="20"/>
        </w:rPr>
        <w:lastRenderedPageBreak/>
        <w:t>Annexure A</w:t>
      </w: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r w:rsidRPr="007857F8">
        <w:rPr>
          <w:rFonts w:ascii="Book Antiqua" w:hAnsi="Book Antiqua" w:cs="Arial"/>
          <w:b/>
          <w:bCs/>
          <w:sz w:val="20"/>
          <w:szCs w:val="20"/>
        </w:rPr>
        <w:t>Events which shall be disclosed without any application of the guidelines for Materiality:</w:t>
      </w: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pStyle w:val="ListParagraph"/>
        <w:numPr>
          <w:ilvl w:val="1"/>
          <w:numId w:val="35"/>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Acquisition(s) (including agreement to acquire), Scheme of Arrangement (amalgamation / merger / demerger / restructuring), or sale or disposal of any unit (s), division(s) or subsidiary of the Company or any other restructuring;</w:t>
      </w:r>
    </w:p>
    <w:p w:rsidR="005A0203" w:rsidRPr="007857F8" w:rsidRDefault="005A0203" w:rsidP="005A0203">
      <w:pPr>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Explanation - 'Acquisition' shall mean, -</w:t>
      </w:r>
    </w:p>
    <w:p w:rsidR="005A0203" w:rsidRPr="007857F8" w:rsidRDefault="005A0203" w:rsidP="005A0203">
      <w:pPr>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0"/>
          <w:numId w:val="37"/>
        </w:numPr>
        <w:autoSpaceDE w:val="0"/>
        <w:autoSpaceDN w:val="0"/>
        <w:adjustRightInd w:val="0"/>
        <w:spacing w:after="0" w:line="240" w:lineRule="auto"/>
        <w:ind w:left="1080"/>
        <w:jc w:val="both"/>
        <w:rPr>
          <w:rFonts w:ascii="Book Antiqua" w:hAnsi="Book Antiqua" w:cs="Arial"/>
          <w:sz w:val="20"/>
          <w:szCs w:val="20"/>
        </w:rPr>
      </w:pPr>
      <w:r w:rsidRPr="007857F8">
        <w:rPr>
          <w:rFonts w:ascii="Book Antiqua" w:hAnsi="Book Antiqua" w:cs="Arial"/>
          <w:sz w:val="20"/>
          <w:szCs w:val="20"/>
        </w:rPr>
        <w:t>acquiring control, whether directly or indirectly; or,</w:t>
      </w:r>
    </w:p>
    <w:p w:rsidR="005A0203" w:rsidRPr="007857F8" w:rsidRDefault="005A0203" w:rsidP="005A0203">
      <w:pPr>
        <w:pStyle w:val="ListParagraph"/>
        <w:autoSpaceDE w:val="0"/>
        <w:autoSpaceDN w:val="0"/>
        <w:adjustRightInd w:val="0"/>
        <w:spacing w:after="0" w:line="240" w:lineRule="auto"/>
        <w:ind w:left="1080"/>
        <w:jc w:val="both"/>
        <w:rPr>
          <w:rFonts w:ascii="Book Antiqua" w:hAnsi="Book Antiqua" w:cs="Arial"/>
          <w:sz w:val="20"/>
          <w:szCs w:val="20"/>
        </w:rPr>
      </w:pPr>
    </w:p>
    <w:p w:rsidR="005A0203" w:rsidRPr="007857F8" w:rsidRDefault="005A0203" w:rsidP="005A0203">
      <w:pPr>
        <w:pStyle w:val="ListParagraph"/>
        <w:numPr>
          <w:ilvl w:val="0"/>
          <w:numId w:val="37"/>
        </w:numPr>
        <w:autoSpaceDE w:val="0"/>
        <w:autoSpaceDN w:val="0"/>
        <w:adjustRightInd w:val="0"/>
        <w:spacing w:after="0" w:line="240" w:lineRule="auto"/>
        <w:ind w:left="1080"/>
        <w:jc w:val="both"/>
        <w:rPr>
          <w:rFonts w:ascii="Book Antiqua" w:hAnsi="Book Antiqua" w:cs="Arial"/>
          <w:sz w:val="20"/>
          <w:szCs w:val="20"/>
        </w:rPr>
      </w:pPr>
      <w:r w:rsidRPr="007857F8">
        <w:rPr>
          <w:rFonts w:ascii="Book Antiqua" w:hAnsi="Book Antiqua" w:cs="Arial"/>
          <w:sz w:val="20"/>
          <w:szCs w:val="20"/>
        </w:rPr>
        <w:t>acquiring or agreeing to acquire shares or voting rights in, a company, whether directly or indirectly, such that –</w:t>
      </w: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pStyle w:val="ListParagraph"/>
        <w:numPr>
          <w:ilvl w:val="0"/>
          <w:numId w:val="38"/>
        </w:numPr>
        <w:autoSpaceDE w:val="0"/>
        <w:autoSpaceDN w:val="0"/>
        <w:adjustRightInd w:val="0"/>
        <w:spacing w:after="0" w:line="240" w:lineRule="auto"/>
        <w:ind w:left="1440"/>
        <w:jc w:val="both"/>
        <w:rPr>
          <w:rFonts w:ascii="Book Antiqua" w:hAnsi="Book Antiqua" w:cs="Arial"/>
          <w:sz w:val="20"/>
          <w:szCs w:val="20"/>
        </w:rPr>
      </w:pPr>
      <w:r w:rsidRPr="007857F8">
        <w:rPr>
          <w:rFonts w:ascii="Book Antiqua" w:hAnsi="Book Antiqua" w:cs="Arial"/>
          <w:sz w:val="20"/>
          <w:szCs w:val="20"/>
        </w:rPr>
        <w:t>the Company holds shares or voting rights aggregating to five per cent or more of the shares or voting rights in the said company, or;</w:t>
      </w:r>
    </w:p>
    <w:p w:rsidR="005A0203" w:rsidRPr="007857F8" w:rsidRDefault="005A0203" w:rsidP="005A0203">
      <w:pPr>
        <w:pStyle w:val="ListParagraph"/>
        <w:numPr>
          <w:ilvl w:val="0"/>
          <w:numId w:val="38"/>
        </w:numPr>
        <w:autoSpaceDE w:val="0"/>
        <w:autoSpaceDN w:val="0"/>
        <w:adjustRightInd w:val="0"/>
        <w:spacing w:after="0" w:line="240" w:lineRule="auto"/>
        <w:ind w:left="1440"/>
        <w:jc w:val="both"/>
        <w:rPr>
          <w:rFonts w:ascii="Book Antiqua" w:hAnsi="Book Antiqua" w:cs="Arial"/>
          <w:sz w:val="20"/>
          <w:szCs w:val="20"/>
        </w:rPr>
      </w:pPr>
      <w:proofErr w:type="gramStart"/>
      <w:r w:rsidRPr="007857F8">
        <w:rPr>
          <w:rFonts w:ascii="Book Antiqua" w:hAnsi="Book Antiqua" w:cs="Arial"/>
          <w:sz w:val="20"/>
          <w:szCs w:val="20"/>
        </w:rPr>
        <w:t>there</w:t>
      </w:r>
      <w:proofErr w:type="gramEnd"/>
      <w:r w:rsidRPr="007857F8">
        <w:rPr>
          <w:rFonts w:ascii="Book Antiqua" w:hAnsi="Book Antiqua" w:cs="Arial"/>
          <w:sz w:val="20"/>
          <w:szCs w:val="20"/>
        </w:rPr>
        <w:t xml:space="preserve"> has been a change in holding from the last disclosure and such change exceeds two per cent of the total shareholding or voting rights in the said company.</w:t>
      </w: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pStyle w:val="ListParagraph"/>
        <w:numPr>
          <w:ilvl w:val="1"/>
          <w:numId w:val="35"/>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Issuance or forfeiture of securities, split or consolidation of shares, buyback of securities, any restriction on transferability of securities or alteration in terms or structure of existing securities including forfeiture, reissue of forfeited securities, alteration of calls, redemption of securities etc.;</w:t>
      </w: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pStyle w:val="ListParagraph"/>
        <w:numPr>
          <w:ilvl w:val="1"/>
          <w:numId w:val="35"/>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Revision in credit rating(s);</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1"/>
          <w:numId w:val="35"/>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Outcome of Meetings of the Board of Directors: The Company shall disclose to the Exchange(s), within 30 minutes of the closure of the meeting, held to consider the following:</w:t>
      </w: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pStyle w:val="ListParagraph"/>
        <w:numPr>
          <w:ilvl w:val="0"/>
          <w:numId w:val="39"/>
        </w:numPr>
        <w:autoSpaceDE w:val="0"/>
        <w:autoSpaceDN w:val="0"/>
        <w:adjustRightInd w:val="0"/>
        <w:spacing w:after="0" w:line="240" w:lineRule="auto"/>
        <w:ind w:left="900"/>
        <w:jc w:val="both"/>
        <w:rPr>
          <w:rFonts w:ascii="Book Antiqua" w:hAnsi="Book Antiqua" w:cs="Arial"/>
          <w:sz w:val="20"/>
          <w:szCs w:val="20"/>
        </w:rPr>
      </w:pPr>
      <w:r w:rsidRPr="007857F8">
        <w:rPr>
          <w:rFonts w:ascii="Book Antiqua" w:hAnsi="Book Antiqua" w:cs="Arial"/>
          <w:sz w:val="20"/>
          <w:szCs w:val="20"/>
        </w:rPr>
        <w:t>dividends and/or cash bonuses recommended or declared or the decision to pass any dividend and the date on which dividend shall be paid/dispatched;</w:t>
      </w:r>
    </w:p>
    <w:p w:rsidR="005A0203" w:rsidRPr="007857F8" w:rsidRDefault="005A0203" w:rsidP="005A0203">
      <w:pPr>
        <w:pStyle w:val="ListParagraph"/>
        <w:numPr>
          <w:ilvl w:val="0"/>
          <w:numId w:val="39"/>
        </w:numPr>
        <w:autoSpaceDE w:val="0"/>
        <w:autoSpaceDN w:val="0"/>
        <w:adjustRightInd w:val="0"/>
        <w:spacing w:after="0" w:line="240" w:lineRule="auto"/>
        <w:ind w:left="900"/>
        <w:jc w:val="both"/>
        <w:rPr>
          <w:rFonts w:ascii="Book Antiqua" w:hAnsi="Book Antiqua" w:cs="Arial"/>
          <w:sz w:val="20"/>
          <w:szCs w:val="20"/>
        </w:rPr>
      </w:pPr>
      <w:r w:rsidRPr="007857F8">
        <w:rPr>
          <w:rFonts w:ascii="Book Antiqua" w:hAnsi="Book Antiqua" w:cs="Arial"/>
          <w:sz w:val="20"/>
          <w:szCs w:val="20"/>
        </w:rPr>
        <w:t>any cancellation of dividend with reasons thereof;</w:t>
      </w:r>
    </w:p>
    <w:p w:rsidR="005A0203" w:rsidRPr="007857F8" w:rsidRDefault="005A0203" w:rsidP="005A0203">
      <w:pPr>
        <w:pStyle w:val="ListParagraph"/>
        <w:numPr>
          <w:ilvl w:val="0"/>
          <w:numId w:val="39"/>
        </w:numPr>
        <w:autoSpaceDE w:val="0"/>
        <w:autoSpaceDN w:val="0"/>
        <w:adjustRightInd w:val="0"/>
        <w:spacing w:after="0" w:line="240" w:lineRule="auto"/>
        <w:ind w:left="900"/>
        <w:jc w:val="both"/>
        <w:rPr>
          <w:rFonts w:ascii="Book Antiqua" w:hAnsi="Book Antiqua" w:cs="Arial"/>
          <w:sz w:val="20"/>
          <w:szCs w:val="20"/>
        </w:rPr>
      </w:pPr>
      <w:r w:rsidRPr="007857F8">
        <w:rPr>
          <w:rFonts w:ascii="Book Antiqua" w:hAnsi="Book Antiqua" w:cs="Arial"/>
          <w:sz w:val="20"/>
          <w:szCs w:val="20"/>
        </w:rPr>
        <w:t>the decision on buyback of securities;</w:t>
      </w:r>
    </w:p>
    <w:p w:rsidR="005A0203" w:rsidRPr="007857F8" w:rsidRDefault="005A0203" w:rsidP="005A0203">
      <w:pPr>
        <w:pStyle w:val="ListParagraph"/>
        <w:numPr>
          <w:ilvl w:val="0"/>
          <w:numId w:val="39"/>
        </w:numPr>
        <w:autoSpaceDE w:val="0"/>
        <w:autoSpaceDN w:val="0"/>
        <w:adjustRightInd w:val="0"/>
        <w:spacing w:after="0" w:line="240" w:lineRule="auto"/>
        <w:ind w:left="900"/>
        <w:jc w:val="both"/>
        <w:rPr>
          <w:rFonts w:ascii="Book Antiqua" w:hAnsi="Book Antiqua" w:cs="Arial"/>
          <w:sz w:val="20"/>
          <w:szCs w:val="20"/>
        </w:rPr>
      </w:pPr>
      <w:r w:rsidRPr="007857F8">
        <w:rPr>
          <w:rFonts w:ascii="Book Antiqua" w:hAnsi="Book Antiqua" w:cs="Arial"/>
          <w:sz w:val="20"/>
          <w:szCs w:val="20"/>
        </w:rPr>
        <w:t>the decision with respect to fund raising proposed to be undertaken</w:t>
      </w:r>
    </w:p>
    <w:p w:rsidR="005A0203" w:rsidRPr="007857F8" w:rsidRDefault="005A0203" w:rsidP="005A0203">
      <w:pPr>
        <w:pStyle w:val="ListParagraph"/>
        <w:numPr>
          <w:ilvl w:val="0"/>
          <w:numId w:val="39"/>
        </w:numPr>
        <w:autoSpaceDE w:val="0"/>
        <w:autoSpaceDN w:val="0"/>
        <w:adjustRightInd w:val="0"/>
        <w:spacing w:after="0" w:line="240" w:lineRule="auto"/>
        <w:ind w:left="900"/>
        <w:jc w:val="both"/>
        <w:rPr>
          <w:rFonts w:ascii="Book Antiqua" w:hAnsi="Book Antiqua" w:cs="Arial"/>
          <w:sz w:val="20"/>
          <w:szCs w:val="20"/>
        </w:rPr>
      </w:pPr>
      <w:r w:rsidRPr="007857F8">
        <w:rPr>
          <w:rFonts w:ascii="Book Antiqua" w:hAnsi="Book Antiqua" w:cs="Arial"/>
          <w:sz w:val="20"/>
          <w:szCs w:val="20"/>
        </w:rPr>
        <w:t>increase in capital by issue of bonus shares through capitalization including the date on which such bonus shares shall be credited/dispatched;</w:t>
      </w:r>
    </w:p>
    <w:p w:rsidR="005A0203" w:rsidRPr="007857F8" w:rsidRDefault="005A0203" w:rsidP="005A0203">
      <w:pPr>
        <w:pStyle w:val="ListParagraph"/>
        <w:numPr>
          <w:ilvl w:val="0"/>
          <w:numId w:val="39"/>
        </w:numPr>
        <w:autoSpaceDE w:val="0"/>
        <w:autoSpaceDN w:val="0"/>
        <w:adjustRightInd w:val="0"/>
        <w:spacing w:after="0" w:line="240" w:lineRule="auto"/>
        <w:ind w:left="900"/>
        <w:jc w:val="both"/>
        <w:rPr>
          <w:rFonts w:ascii="Book Antiqua" w:hAnsi="Book Antiqua" w:cs="Arial"/>
          <w:sz w:val="20"/>
          <w:szCs w:val="20"/>
        </w:rPr>
      </w:pPr>
      <w:r w:rsidRPr="007857F8">
        <w:rPr>
          <w:rFonts w:ascii="Book Antiqua" w:hAnsi="Book Antiqua" w:cs="Arial"/>
          <w:sz w:val="20"/>
          <w:szCs w:val="20"/>
        </w:rPr>
        <w:t>reissue of forfeited shares or securities, or the issue of shares or securities held in reserve for future issue or the creation in any form or manner of new shares or securities or any other rights, privileges or benefits to subscribe to;</w:t>
      </w:r>
    </w:p>
    <w:p w:rsidR="005A0203" w:rsidRPr="007857F8" w:rsidRDefault="005A0203" w:rsidP="005A0203">
      <w:pPr>
        <w:pStyle w:val="ListParagraph"/>
        <w:numPr>
          <w:ilvl w:val="0"/>
          <w:numId w:val="39"/>
        </w:numPr>
        <w:autoSpaceDE w:val="0"/>
        <w:autoSpaceDN w:val="0"/>
        <w:adjustRightInd w:val="0"/>
        <w:spacing w:after="0" w:line="240" w:lineRule="auto"/>
        <w:ind w:left="900"/>
        <w:jc w:val="both"/>
        <w:rPr>
          <w:rFonts w:ascii="Book Antiqua" w:hAnsi="Book Antiqua" w:cs="Arial"/>
          <w:sz w:val="20"/>
          <w:szCs w:val="20"/>
        </w:rPr>
      </w:pPr>
      <w:r w:rsidRPr="007857F8">
        <w:rPr>
          <w:rFonts w:ascii="Book Antiqua" w:hAnsi="Book Antiqua" w:cs="Arial"/>
          <w:sz w:val="20"/>
          <w:szCs w:val="20"/>
        </w:rPr>
        <w:t>short particulars of any other alterations of capital, including calls;</w:t>
      </w:r>
    </w:p>
    <w:p w:rsidR="005A0203" w:rsidRPr="007857F8" w:rsidRDefault="005A0203" w:rsidP="005A0203">
      <w:pPr>
        <w:pStyle w:val="ListParagraph"/>
        <w:numPr>
          <w:ilvl w:val="0"/>
          <w:numId w:val="39"/>
        </w:numPr>
        <w:autoSpaceDE w:val="0"/>
        <w:autoSpaceDN w:val="0"/>
        <w:adjustRightInd w:val="0"/>
        <w:spacing w:after="0" w:line="240" w:lineRule="auto"/>
        <w:ind w:left="900"/>
        <w:jc w:val="both"/>
        <w:rPr>
          <w:rFonts w:ascii="Book Antiqua" w:hAnsi="Book Antiqua" w:cs="Arial"/>
          <w:sz w:val="20"/>
          <w:szCs w:val="20"/>
        </w:rPr>
      </w:pPr>
      <w:r w:rsidRPr="007857F8">
        <w:rPr>
          <w:rFonts w:ascii="Book Antiqua" w:hAnsi="Book Antiqua" w:cs="Arial"/>
          <w:sz w:val="20"/>
          <w:szCs w:val="20"/>
        </w:rPr>
        <w:t>financial results;</w:t>
      </w:r>
    </w:p>
    <w:p w:rsidR="005A0203" w:rsidRPr="007857F8" w:rsidRDefault="005A0203" w:rsidP="005A0203">
      <w:pPr>
        <w:pStyle w:val="ListParagraph"/>
        <w:numPr>
          <w:ilvl w:val="0"/>
          <w:numId w:val="39"/>
        </w:numPr>
        <w:autoSpaceDE w:val="0"/>
        <w:autoSpaceDN w:val="0"/>
        <w:adjustRightInd w:val="0"/>
        <w:spacing w:after="0" w:line="240" w:lineRule="auto"/>
        <w:ind w:left="900"/>
        <w:jc w:val="both"/>
        <w:rPr>
          <w:rFonts w:ascii="Book Antiqua" w:hAnsi="Book Antiqua" w:cs="Arial"/>
          <w:sz w:val="20"/>
          <w:szCs w:val="20"/>
        </w:rPr>
      </w:pPr>
      <w:proofErr w:type="gramStart"/>
      <w:r w:rsidRPr="007857F8">
        <w:rPr>
          <w:rFonts w:ascii="Book Antiqua" w:hAnsi="Book Antiqua" w:cs="Arial"/>
          <w:sz w:val="20"/>
          <w:szCs w:val="20"/>
        </w:rPr>
        <w:t>decision</w:t>
      </w:r>
      <w:proofErr w:type="gramEnd"/>
      <w:r w:rsidRPr="007857F8">
        <w:rPr>
          <w:rFonts w:ascii="Book Antiqua" w:hAnsi="Book Antiqua" w:cs="Arial"/>
          <w:sz w:val="20"/>
          <w:szCs w:val="20"/>
        </w:rPr>
        <w:t xml:space="preserve"> on voluntary delisting by the Company from stock exchange(s).</w:t>
      </w: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pStyle w:val="ListParagraph"/>
        <w:numPr>
          <w:ilvl w:val="1"/>
          <w:numId w:val="35"/>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Agreements (viz. shareholder agreement(s), joint venture agreement(s), family settlement agreement(s) (to the extent that it impacts management and control of the Company), agreement(s) / treaty(</w:t>
      </w:r>
      <w:proofErr w:type="spellStart"/>
      <w:r w:rsidRPr="007857F8">
        <w:rPr>
          <w:rFonts w:ascii="Book Antiqua" w:hAnsi="Book Antiqua" w:cs="Arial"/>
          <w:sz w:val="20"/>
          <w:szCs w:val="20"/>
        </w:rPr>
        <w:t>ies</w:t>
      </w:r>
      <w:proofErr w:type="spellEnd"/>
      <w:r w:rsidRPr="007857F8">
        <w:rPr>
          <w:rFonts w:ascii="Book Antiqua" w:hAnsi="Book Antiqua" w:cs="Arial"/>
          <w:sz w:val="20"/>
          <w:szCs w:val="20"/>
        </w:rPr>
        <w:t>) / contract(s) with media companies) which are binding and not in normal course of business, revision(s) or amendment(s) and termination(s) thereof;</w:t>
      </w: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pStyle w:val="ListParagraph"/>
        <w:numPr>
          <w:ilvl w:val="1"/>
          <w:numId w:val="35"/>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Fraud/defaults by Promoter or Key Managerial Personnel or by Company or arrest of Key Managerial Personnel or Promoter;</w:t>
      </w: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pStyle w:val="ListParagraph"/>
        <w:numPr>
          <w:ilvl w:val="1"/>
          <w:numId w:val="35"/>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Change in Directors, Key Managerial Personnel (Managing Director, Chief Executive Officer, Chief Financial Officer, Company Secretary etc.), Auditor and Compliance Officer;</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1"/>
          <w:numId w:val="35"/>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Appointment or discontinuation of share transfer agent;</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1"/>
          <w:numId w:val="35"/>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Corporate debt restructuring;</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1"/>
          <w:numId w:val="35"/>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lastRenderedPageBreak/>
        <w:t>One-time settlement with a bank;</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1"/>
          <w:numId w:val="35"/>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Reference to BIFR and winding-up petition filed by any party /creditors;</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1"/>
          <w:numId w:val="35"/>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Issuance of Notices, call letters, resolutions and circulars sent to shareholders, debenture holders or creditors or any class of them or advertised in the media by the Company;</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1"/>
          <w:numId w:val="35"/>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Proceedings of Annual and extraordinary general meetings of the Company;</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1"/>
          <w:numId w:val="35"/>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Amendments to Memorandum and Articles of Association of the Company, in brief;</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1"/>
          <w:numId w:val="35"/>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Schedule of Analyst or institutional investor meet and presentations on financial results made by the Company to analysts or institutional investors.</w:t>
      </w:r>
    </w:p>
    <w:p w:rsidR="005A0203" w:rsidRPr="007857F8" w:rsidRDefault="005A0203" w:rsidP="005A0203">
      <w:pPr>
        <w:autoSpaceDE w:val="0"/>
        <w:autoSpaceDN w:val="0"/>
        <w:adjustRightInd w:val="0"/>
        <w:spacing w:after="0" w:line="240" w:lineRule="auto"/>
        <w:jc w:val="both"/>
        <w:rPr>
          <w:rFonts w:ascii="Book Antiqua" w:hAnsi="Book Antiqua" w:cs="Arial"/>
          <w:sz w:val="20"/>
          <w:szCs w:val="20"/>
        </w:rPr>
      </w:pP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spacing w:after="0" w:line="240" w:lineRule="auto"/>
        <w:rPr>
          <w:rFonts w:ascii="Book Antiqua" w:hAnsi="Book Antiqua" w:cs="Arial"/>
          <w:b/>
          <w:bCs/>
          <w:sz w:val="20"/>
          <w:szCs w:val="20"/>
        </w:rPr>
      </w:pPr>
    </w:p>
    <w:p w:rsidR="005A0203" w:rsidRPr="007857F8" w:rsidRDefault="005A0203">
      <w:pPr>
        <w:rPr>
          <w:rFonts w:ascii="Book Antiqua" w:hAnsi="Book Antiqua" w:cs="Arial"/>
          <w:b/>
          <w:bCs/>
          <w:sz w:val="20"/>
          <w:szCs w:val="20"/>
        </w:rPr>
      </w:pPr>
      <w:r w:rsidRPr="007857F8">
        <w:rPr>
          <w:rFonts w:ascii="Book Antiqua" w:hAnsi="Book Antiqua" w:cs="Arial"/>
          <w:b/>
          <w:bCs/>
          <w:sz w:val="20"/>
          <w:szCs w:val="20"/>
        </w:rPr>
        <w:br w:type="page"/>
      </w:r>
    </w:p>
    <w:p w:rsidR="005A0203" w:rsidRPr="007857F8" w:rsidRDefault="005A0203" w:rsidP="005A0203">
      <w:pPr>
        <w:spacing w:after="0" w:line="240" w:lineRule="auto"/>
        <w:jc w:val="center"/>
        <w:rPr>
          <w:rFonts w:ascii="Book Antiqua" w:hAnsi="Book Antiqua" w:cs="Arial"/>
          <w:b/>
          <w:bCs/>
          <w:sz w:val="20"/>
          <w:szCs w:val="20"/>
        </w:rPr>
      </w:pPr>
      <w:r w:rsidRPr="007857F8">
        <w:rPr>
          <w:rFonts w:ascii="Book Antiqua" w:hAnsi="Book Antiqua" w:cs="Arial"/>
          <w:b/>
          <w:bCs/>
          <w:sz w:val="20"/>
          <w:szCs w:val="20"/>
        </w:rPr>
        <w:lastRenderedPageBreak/>
        <w:t>Annexure B</w:t>
      </w: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r w:rsidRPr="007857F8">
        <w:rPr>
          <w:rFonts w:ascii="Book Antiqua" w:hAnsi="Book Antiqua" w:cs="Arial"/>
          <w:b/>
          <w:bCs/>
          <w:sz w:val="20"/>
          <w:szCs w:val="20"/>
        </w:rPr>
        <w:t>Illustrative list of events which shall be disclosed upon application of the guidelines for materiality:</w:t>
      </w:r>
    </w:p>
    <w:p w:rsidR="005A0203" w:rsidRPr="007857F8" w:rsidRDefault="005A0203" w:rsidP="005A0203">
      <w:pPr>
        <w:autoSpaceDE w:val="0"/>
        <w:autoSpaceDN w:val="0"/>
        <w:adjustRightInd w:val="0"/>
        <w:spacing w:after="0" w:line="240" w:lineRule="auto"/>
        <w:jc w:val="both"/>
        <w:rPr>
          <w:rFonts w:ascii="Book Antiqua" w:hAnsi="Book Antiqua" w:cs="Arial"/>
          <w:b/>
          <w:bCs/>
          <w:sz w:val="20"/>
          <w:szCs w:val="20"/>
        </w:rPr>
      </w:pPr>
    </w:p>
    <w:p w:rsidR="005A0203" w:rsidRPr="007857F8" w:rsidRDefault="005A0203" w:rsidP="005A0203">
      <w:pPr>
        <w:pStyle w:val="ListParagraph"/>
        <w:numPr>
          <w:ilvl w:val="0"/>
          <w:numId w:val="40"/>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Commencement or any postponement in the date of commencement of commercial production or commercial operations of any unit/division;</w:t>
      </w:r>
    </w:p>
    <w:p w:rsidR="005A0203" w:rsidRPr="007857F8" w:rsidRDefault="005A0203" w:rsidP="005A0203">
      <w:pPr>
        <w:autoSpaceDE w:val="0"/>
        <w:autoSpaceDN w:val="0"/>
        <w:adjustRightInd w:val="0"/>
        <w:spacing w:after="0" w:line="240" w:lineRule="auto"/>
        <w:ind w:left="720"/>
        <w:jc w:val="both"/>
        <w:rPr>
          <w:rFonts w:ascii="Book Antiqua" w:hAnsi="Book Antiqua" w:cs="Arial"/>
          <w:sz w:val="20"/>
          <w:szCs w:val="20"/>
        </w:rPr>
      </w:pPr>
    </w:p>
    <w:p w:rsidR="005A0203" w:rsidRPr="007857F8" w:rsidRDefault="005A0203" w:rsidP="005A0203">
      <w:pPr>
        <w:pStyle w:val="ListParagraph"/>
        <w:numPr>
          <w:ilvl w:val="0"/>
          <w:numId w:val="40"/>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Change in the general character or nature of business brought about by arrangements for strategic, technical, manufacturing, or marketing tie-up, adoption of new lines of business or closure of operations of any unit/division (entirety or piecemeal);</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0"/>
          <w:numId w:val="40"/>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Capacity addition or product launch;</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0"/>
          <w:numId w:val="40"/>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Awarding, bagging / receiving, amendment or termination of awarded / bagged orders/contracts not in the normal course of business;</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0"/>
          <w:numId w:val="40"/>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Agreements (viz. loan agreement(s) (as a borrower) or any other agreement(s) which are binding and not in normal course of business) and revision(s) or amendment(s) or termination(s) thereof;</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0"/>
          <w:numId w:val="40"/>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Disruption of operations of any one or more units or division of the Company due to natural calamity (earthquake, flood, fire etc.), force majeure or events such as strikes, lockouts etc.;</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0"/>
          <w:numId w:val="40"/>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Effect(s) arising out of change in the regulatory framework applicable to the Company;</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0"/>
          <w:numId w:val="40"/>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Litigation(s) / dispute(s) / regulatory action(s) with impact;</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0"/>
          <w:numId w:val="40"/>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Fraud/defaults etc. by directors (other than key managerial personnel) or employees of Company;</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0"/>
          <w:numId w:val="40"/>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Options to purchase securities including any ESOP/ESPS Scheme;</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0"/>
          <w:numId w:val="40"/>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Giving of guarantees or indemnity or becoming a surety for any third party;</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0"/>
          <w:numId w:val="40"/>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Granting, withdrawal, surrender, cancellation or suspension of key licenses or regulatory approvals;</w:t>
      </w:r>
    </w:p>
    <w:p w:rsidR="005A0203" w:rsidRPr="007857F8" w:rsidRDefault="005A0203" w:rsidP="005A0203">
      <w:pPr>
        <w:pStyle w:val="ListParagraph"/>
        <w:autoSpaceDE w:val="0"/>
        <w:autoSpaceDN w:val="0"/>
        <w:adjustRightInd w:val="0"/>
        <w:spacing w:after="0" w:line="240" w:lineRule="auto"/>
        <w:ind w:left="540"/>
        <w:jc w:val="both"/>
        <w:rPr>
          <w:rFonts w:ascii="Book Antiqua" w:hAnsi="Book Antiqua" w:cs="Arial"/>
          <w:sz w:val="20"/>
          <w:szCs w:val="20"/>
        </w:rPr>
      </w:pPr>
    </w:p>
    <w:p w:rsidR="005A0203" w:rsidRPr="007857F8" w:rsidRDefault="005A0203" w:rsidP="005A0203">
      <w:pPr>
        <w:pStyle w:val="ListParagraph"/>
        <w:numPr>
          <w:ilvl w:val="0"/>
          <w:numId w:val="40"/>
        </w:numPr>
        <w:autoSpaceDE w:val="0"/>
        <w:autoSpaceDN w:val="0"/>
        <w:adjustRightInd w:val="0"/>
        <w:spacing w:after="0" w:line="240" w:lineRule="auto"/>
        <w:ind w:left="540"/>
        <w:jc w:val="both"/>
        <w:rPr>
          <w:rFonts w:ascii="Book Antiqua" w:hAnsi="Book Antiqua" w:cs="Arial"/>
          <w:sz w:val="20"/>
          <w:szCs w:val="20"/>
        </w:rPr>
      </w:pPr>
      <w:r w:rsidRPr="007857F8">
        <w:rPr>
          <w:rFonts w:ascii="Book Antiqua" w:hAnsi="Book Antiqua" w:cs="Arial"/>
          <w:sz w:val="20"/>
          <w:szCs w:val="20"/>
        </w:rPr>
        <w:t>Any other information/event viz. major development that is likely to affect business, e.g. emergence of new technologies, expiry of patents, any change of accounting policy that may have a significant impact on the accounts, etc. and brief details thereof and any other information which is exclusively known to the Company which may be necessary to enable the holders of securities of the Company to appraise its position and to avoid the establishment of a false market in such securities.</w:t>
      </w:r>
    </w:p>
    <w:p w:rsidR="00C23258" w:rsidRPr="007857F8" w:rsidRDefault="00C23258" w:rsidP="005A0203">
      <w:pPr>
        <w:spacing w:after="0" w:line="240" w:lineRule="auto"/>
        <w:rPr>
          <w:rFonts w:ascii="Book Antiqua" w:hAnsi="Book Antiqua" w:cstheme="minorHAnsi"/>
          <w:sz w:val="20"/>
          <w:szCs w:val="20"/>
        </w:rPr>
      </w:pPr>
    </w:p>
    <w:sectPr w:rsidR="00C23258" w:rsidRPr="007857F8" w:rsidSect="009D19EB">
      <w:headerReference w:type="even" r:id="rId8"/>
      <w:headerReference w:type="default" r:id="rId9"/>
      <w:footerReference w:type="even" r:id="rId10"/>
      <w:footerReference w:type="default" r:id="rId11"/>
      <w:headerReference w:type="first" r:id="rId12"/>
      <w:footerReference w:type="first" r:id="rId13"/>
      <w:pgSz w:w="11906" w:h="16838"/>
      <w:pgMar w:top="630" w:right="1016" w:bottom="1440" w:left="1440" w:header="54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99C" w:rsidRDefault="008C699C" w:rsidP="00C02E4A">
      <w:pPr>
        <w:spacing w:after="0" w:line="240" w:lineRule="auto"/>
      </w:pPr>
      <w:r>
        <w:separator/>
      </w:r>
    </w:p>
  </w:endnote>
  <w:endnote w:type="continuationSeparator" w:id="1">
    <w:p w:rsidR="008C699C" w:rsidRDefault="008C699C" w:rsidP="00C02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4E" w:rsidRDefault="006F61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A31F4C" w:rsidP="0048489F">
    <w:pPr>
      <w:pStyle w:val="Footer"/>
      <w:tabs>
        <w:tab w:val="clear" w:pos="4680"/>
        <w:tab w:val="clear" w:pos="9360"/>
        <w:tab w:val="left" w:pos="6660"/>
      </w:tabs>
      <w:ind w:left="-72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1306"/>
      <w:docPartObj>
        <w:docPartGallery w:val="Page Numbers (Bottom of Page)"/>
        <w:docPartUnique/>
      </w:docPartObj>
    </w:sdtPr>
    <w:sdtContent>
      <w:sdt>
        <w:sdtPr>
          <w:id w:val="565050523"/>
          <w:docPartObj>
            <w:docPartGallery w:val="Page Numbers (Top of Page)"/>
            <w:docPartUnique/>
          </w:docPartObj>
        </w:sdtPr>
        <w:sdtContent>
          <w:p w:rsidR="00A31F4C" w:rsidRDefault="00A31F4C">
            <w:pPr>
              <w:pStyle w:val="Footer"/>
              <w:jc w:val="right"/>
            </w:pPr>
            <w:r>
              <w:t xml:space="preserve">Page </w:t>
            </w:r>
            <w:r w:rsidR="00C449AF">
              <w:rPr>
                <w:b/>
                <w:sz w:val="24"/>
                <w:szCs w:val="24"/>
              </w:rPr>
              <w:fldChar w:fldCharType="begin"/>
            </w:r>
            <w:r>
              <w:rPr>
                <w:b/>
              </w:rPr>
              <w:instrText xml:space="preserve"> PAGE </w:instrText>
            </w:r>
            <w:r w:rsidR="00C449AF">
              <w:rPr>
                <w:b/>
                <w:sz w:val="24"/>
                <w:szCs w:val="24"/>
              </w:rPr>
              <w:fldChar w:fldCharType="separate"/>
            </w:r>
            <w:r>
              <w:rPr>
                <w:b/>
                <w:noProof/>
              </w:rPr>
              <w:t>1</w:t>
            </w:r>
            <w:r w:rsidR="00C449AF">
              <w:rPr>
                <w:b/>
                <w:sz w:val="24"/>
                <w:szCs w:val="24"/>
              </w:rPr>
              <w:fldChar w:fldCharType="end"/>
            </w:r>
            <w:r>
              <w:t xml:space="preserve"> of </w:t>
            </w:r>
            <w:r w:rsidR="00C449AF">
              <w:rPr>
                <w:b/>
                <w:sz w:val="24"/>
                <w:szCs w:val="24"/>
              </w:rPr>
              <w:fldChar w:fldCharType="begin"/>
            </w:r>
            <w:r>
              <w:rPr>
                <w:b/>
              </w:rPr>
              <w:instrText xml:space="preserve"> NUMPAGES  </w:instrText>
            </w:r>
            <w:r w:rsidR="00C449AF">
              <w:rPr>
                <w:b/>
                <w:sz w:val="24"/>
                <w:szCs w:val="24"/>
              </w:rPr>
              <w:fldChar w:fldCharType="separate"/>
            </w:r>
            <w:r>
              <w:rPr>
                <w:b/>
                <w:noProof/>
              </w:rPr>
              <w:t>5</w:t>
            </w:r>
            <w:r w:rsidR="00C449AF">
              <w:rPr>
                <w:b/>
                <w:sz w:val="24"/>
                <w:szCs w:val="24"/>
              </w:rPr>
              <w:fldChar w:fldCharType="end"/>
            </w:r>
          </w:p>
        </w:sdtContent>
      </w:sdt>
    </w:sdtContent>
  </w:sdt>
  <w:p w:rsidR="00A31F4C" w:rsidRDefault="00A31F4C" w:rsidP="0048489F">
    <w:pPr>
      <w:pStyle w:val="Foote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99C" w:rsidRDefault="008C699C" w:rsidP="00C02E4A">
      <w:pPr>
        <w:spacing w:after="0" w:line="240" w:lineRule="auto"/>
      </w:pPr>
      <w:r>
        <w:separator/>
      </w:r>
    </w:p>
  </w:footnote>
  <w:footnote w:type="continuationSeparator" w:id="1">
    <w:p w:rsidR="008C699C" w:rsidRDefault="008C699C" w:rsidP="00C02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C449AF">
    <w:pPr>
      <w:pStyle w:val="Header"/>
    </w:pPr>
    <w:r w:rsidRPr="00C449A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5110" o:spid="_x0000_s2051" type="#_x0000_t136" style="position:absolute;margin-left:0;margin-top:0;width:629.2pt;height:37pt;rotation:315;z-index:-251654144;mso-position-horizontal:center;mso-position-horizontal-relative:margin;mso-position-vertical:center;mso-position-vertical-relative:margin" o:allowincell="f" fillcolor="#7f7f7f [1612]" stroked="f">
          <v:fill opacity=".5"/>
          <v:textpath style="font-family:&quot;Calibri&quot;;font-size:1pt" string="TRC Financial Services Limited - POLICY ON MATERIALITY OF EV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C449AF" w:rsidP="0048489F">
    <w:pPr>
      <w:pStyle w:val="Header"/>
      <w:ind w:left="-720"/>
    </w:pPr>
    <w:r w:rsidRPr="00C449A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5111" o:spid="_x0000_s2052" type="#_x0000_t136" style="position:absolute;left:0;text-align:left;margin-left:0;margin-top:0;width:629.2pt;height:37pt;rotation:315;z-index:-251652096;mso-position-horizontal:center;mso-position-horizontal-relative:margin;mso-position-vertical:center;mso-position-vertical-relative:margin" o:allowincell="f" fillcolor="#7f7f7f [1612]" stroked="f">
          <v:fill opacity=".5"/>
          <v:textpath style="font-family:&quot;Calibri&quot;;font-size:1pt" string="TRC Financial Services Limited - POLICY ON MATERIALITY OF EV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temporary/>
      <w:showingPlcHdr/>
    </w:sdtPr>
    <w:sdtContent>
      <w:p w:rsidR="00A31F4C" w:rsidRDefault="00A31F4C">
        <w:pPr>
          <w:pStyle w:val="Header"/>
        </w:pPr>
        <w:r>
          <w:t>[Type text]</w:t>
        </w:r>
      </w:p>
    </w:sdtContent>
  </w:sdt>
  <w:p w:rsidR="00A31F4C" w:rsidRDefault="00C449AF" w:rsidP="0048489F">
    <w:pPr>
      <w:pStyle w:val="Header"/>
      <w:ind w:left="-720"/>
    </w:pPr>
    <w:r w:rsidRPr="00C449A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75109" o:spid="_x0000_s2050" type="#_x0000_t136" style="position:absolute;left:0;text-align:left;margin-left:0;margin-top:0;width:629.2pt;height:37pt;rotation:315;z-index:-251656192;mso-position-horizontal:center;mso-position-horizontal-relative:margin;mso-position-vertical:center;mso-position-vertical-relative:margin" o:allowincell="f" fillcolor="#7f7f7f [1612]" stroked="f">
          <v:fill opacity=".5"/>
          <v:textpath style="font-family:&quot;Calibri&quot;;font-size:1pt" string="TRC Financial Services Limited - POLICY ON MATERIALITY OF EV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94B"/>
    <w:multiLevelType w:val="hybridMultilevel"/>
    <w:tmpl w:val="4DF2A5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5B1400"/>
    <w:multiLevelType w:val="hybridMultilevel"/>
    <w:tmpl w:val="117642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412C4A"/>
    <w:multiLevelType w:val="hybridMultilevel"/>
    <w:tmpl w:val="590A61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5634892"/>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2791B"/>
    <w:multiLevelType w:val="hybridMultilevel"/>
    <w:tmpl w:val="C92C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87150"/>
    <w:multiLevelType w:val="hybridMultilevel"/>
    <w:tmpl w:val="6E7021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C0374"/>
    <w:multiLevelType w:val="hybridMultilevel"/>
    <w:tmpl w:val="9DA2D3E2"/>
    <w:lvl w:ilvl="0" w:tplc="990014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7A65F6"/>
    <w:multiLevelType w:val="hybridMultilevel"/>
    <w:tmpl w:val="D7E611E8"/>
    <w:lvl w:ilvl="0" w:tplc="C8E6DA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A6081D"/>
    <w:multiLevelType w:val="hybridMultilevel"/>
    <w:tmpl w:val="F028D81C"/>
    <w:lvl w:ilvl="0" w:tplc="04090017">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1FAD5BB3"/>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3201D"/>
    <w:multiLevelType w:val="hybridMultilevel"/>
    <w:tmpl w:val="223A631A"/>
    <w:lvl w:ilvl="0" w:tplc="312848B6">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1770969"/>
    <w:multiLevelType w:val="hybridMultilevel"/>
    <w:tmpl w:val="75525544"/>
    <w:lvl w:ilvl="0" w:tplc="0409001B">
      <w:start w:val="1"/>
      <w:numFmt w:val="lowerRoman"/>
      <w:lvlText w:val="%1."/>
      <w:lvlJc w:val="righ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2C10197"/>
    <w:multiLevelType w:val="hybridMultilevel"/>
    <w:tmpl w:val="580E81E8"/>
    <w:lvl w:ilvl="0" w:tplc="9900141A">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DC7ADF"/>
    <w:multiLevelType w:val="hybridMultilevel"/>
    <w:tmpl w:val="2E9697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5F26FB9"/>
    <w:multiLevelType w:val="hybridMultilevel"/>
    <w:tmpl w:val="B5B6B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6B36C3"/>
    <w:multiLevelType w:val="hybridMultilevel"/>
    <w:tmpl w:val="800A6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791D5B"/>
    <w:multiLevelType w:val="hybridMultilevel"/>
    <w:tmpl w:val="AF42F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A4B0264"/>
    <w:multiLevelType w:val="hybridMultilevel"/>
    <w:tmpl w:val="2E468DA8"/>
    <w:lvl w:ilvl="0" w:tplc="0E72B136">
      <w:start w:val="1"/>
      <w:numFmt w:val="lowerRoman"/>
      <w:lvlText w:val=" (%1)"/>
      <w:lvlJc w:val="left"/>
      <w:pPr>
        <w:ind w:left="1440" w:hanging="360"/>
      </w:pPr>
      <w:rPr>
        <w:rFonts w:ascii="Cambria" w:hAnsi="Cambria"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3A743AFD"/>
    <w:multiLevelType w:val="hybridMultilevel"/>
    <w:tmpl w:val="6B423C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23535F"/>
    <w:multiLevelType w:val="hybridMultilevel"/>
    <w:tmpl w:val="39F27216"/>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3D16C96"/>
    <w:multiLevelType w:val="hybridMultilevel"/>
    <w:tmpl w:val="EDC2A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FA470F"/>
    <w:multiLevelType w:val="hybridMultilevel"/>
    <w:tmpl w:val="5CFA681E"/>
    <w:lvl w:ilvl="0" w:tplc="04090001">
      <w:start w:val="1"/>
      <w:numFmt w:val="bullet"/>
      <w:lvlText w:val=""/>
      <w:lvlJc w:val="left"/>
      <w:pPr>
        <w:ind w:left="720" w:hanging="360"/>
      </w:pPr>
      <w:rPr>
        <w:rFonts w:ascii="Symbol" w:hAnsi="Symbol" w:hint="default"/>
      </w:rPr>
    </w:lvl>
    <w:lvl w:ilvl="1" w:tplc="C7E89CB2">
      <w:start w:val="5"/>
      <w:numFmt w:val="bullet"/>
      <w:lvlText w:val="-"/>
      <w:lvlJc w:val="left"/>
      <w:pPr>
        <w:ind w:left="1440" w:hanging="360"/>
      </w:pPr>
      <w:rPr>
        <w:rFonts w:ascii="Calibri" w:eastAsiaTheme="minorHAnsi" w:hAnsi="Calibri" w:cs="Calibri"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47EB341B"/>
    <w:multiLevelType w:val="hybridMultilevel"/>
    <w:tmpl w:val="2AD0D6C8"/>
    <w:lvl w:ilvl="0" w:tplc="FBB621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890798F"/>
    <w:multiLevelType w:val="hybridMultilevel"/>
    <w:tmpl w:val="64940C0E"/>
    <w:lvl w:ilvl="0" w:tplc="D916C0F0">
      <w:start w:val="1"/>
      <w:numFmt w:val="upperLetter"/>
      <w:lvlText w:val="%1."/>
      <w:lvlJc w:val="left"/>
      <w:pPr>
        <w:ind w:left="720" w:hanging="360"/>
      </w:pPr>
      <w:rPr>
        <w:rFonts w:hint="default"/>
        <w:b/>
      </w:rPr>
    </w:lvl>
    <w:lvl w:ilvl="1" w:tplc="9170F5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800FE5"/>
    <w:multiLevelType w:val="hybridMultilevel"/>
    <w:tmpl w:val="0C961B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4D94AA0"/>
    <w:multiLevelType w:val="hybridMultilevel"/>
    <w:tmpl w:val="B53C4DDE"/>
    <w:lvl w:ilvl="0" w:tplc="C7047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536B46"/>
    <w:multiLevelType w:val="hybridMultilevel"/>
    <w:tmpl w:val="84986090"/>
    <w:lvl w:ilvl="0" w:tplc="7FE62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4D2824"/>
    <w:multiLevelType w:val="hybridMultilevel"/>
    <w:tmpl w:val="0C88FB1E"/>
    <w:lvl w:ilvl="0" w:tplc="49466F64">
      <w:start w:val="1"/>
      <w:numFmt w:val="lowerRoman"/>
      <w:lvlText w:val=" (%1)"/>
      <w:lvlJc w:val="left"/>
      <w:pPr>
        <w:ind w:left="720" w:hanging="360"/>
      </w:pPr>
      <w:rPr>
        <w:rFonts w:ascii="Cambria" w:hAnsi="Cambria" w:hint="default"/>
        <w:b w:val="0"/>
        <w:i w:val="0"/>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0CB1285"/>
    <w:multiLevelType w:val="hybridMultilevel"/>
    <w:tmpl w:val="2AD0D6C8"/>
    <w:lvl w:ilvl="0" w:tplc="FBB621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414127F"/>
    <w:multiLevelType w:val="hybridMultilevel"/>
    <w:tmpl w:val="77B4AA1A"/>
    <w:lvl w:ilvl="0" w:tplc="6E9E0612">
      <w:start w:val="1"/>
      <w:numFmt w:val="decimal"/>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66B03CAA"/>
    <w:multiLevelType w:val="hybridMultilevel"/>
    <w:tmpl w:val="8C1EDD72"/>
    <w:lvl w:ilvl="0" w:tplc="0409001B">
      <w:start w:val="1"/>
      <w:numFmt w:val="lowerRoman"/>
      <w:lvlText w:val="%1."/>
      <w:lvlJc w:val="right"/>
      <w:pPr>
        <w:ind w:left="720" w:hanging="360"/>
      </w:pPr>
    </w:lvl>
    <w:lvl w:ilvl="1" w:tplc="E6249F1E">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88E4A65"/>
    <w:multiLevelType w:val="hybridMultilevel"/>
    <w:tmpl w:val="81D07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9A0630E"/>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AA3223"/>
    <w:multiLevelType w:val="hybridMultilevel"/>
    <w:tmpl w:val="3C5607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BFF57F1"/>
    <w:multiLevelType w:val="hybridMultilevel"/>
    <w:tmpl w:val="168EA0E2"/>
    <w:lvl w:ilvl="0" w:tplc="A692E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9A6C3D"/>
    <w:multiLevelType w:val="hybridMultilevel"/>
    <w:tmpl w:val="5DB43B7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6">
    <w:nsid w:val="771D54C2"/>
    <w:multiLevelType w:val="hybridMultilevel"/>
    <w:tmpl w:val="5C98BCCC"/>
    <w:lvl w:ilvl="0" w:tplc="F6721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9D77C5C"/>
    <w:multiLevelType w:val="hybridMultilevel"/>
    <w:tmpl w:val="38B838E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AD755D0"/>
    <w:multiLevelType w:val="hybridMultilevel"/>
    <w:tmpl w:val="F266C30E"/>
    <w:lvl w:ilvl="0" w:tplc="04090017">
      <w:start w:val="1"/>
      <w:numFmt w:val="lowerLetter"/>
      <w:lvlText w:val="%1)"/>
      <w:lvlJc w:val="left"/>
      <w:pPr>
        <w:ind w:left="720" w:hanging="360"/>
      </w:pPr>
    </w:lvl>
    <w:lvl w:ilvl="1" w:tplc="6E9E0612">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F610F45"/>
    <w:multiLevelType w:val="hybridMultilevel"/>
    <w:tmpl w:val="2CBEFD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2"/>
  </w:num>
  <w:num w:numId="2">
    <w:abstractNumId w:val="13"/>
  </w:num>
  <w:num w:numId="3">
    <w:abstractNumId w:val="15"/>
  </w:num>
  <w:num w:numId="4">
    <w:abstractNumId w:val="35"/>
  </w:num>
  <w:num w:numId="5">
    <w:abstractNumId w:val="18"/>
  </w:num>
  <w:num w:numId="6">
    <w:abstractNumId w:val="26"/>
  </w:num>
  <w:num w:numId="7">
    <w:abstractNumId w:val="16"/>
  </w:num>
  <w:num w:numId="8">
    <w:abstractNumId w:val="14"/>
  </w:num>
  <w:num w:numId="9">
    <w:abstractNumId w:val="31"/>
  </w:num>
  <w:num w:numId="10">
    <w:abstractNumId w:val="25"/>
  </w:num>
  <w:num w:numId="11">
    <w:abstractNumId w:val="23"/>
  </w:num>
  <w:num w:numId="12">
    <w:abstractNumId w:val="17"/>
  </w:num>
  <w:num w:numId="13">
    <w:abstractNumId w:val="6"/>
  </w:num>
  <w:num w:numId="14">
    <w:abstractNumId w:val="12"/>
  </w:num>
  <w:num w:numId="15">
    <w:abstractNumId w:val="3"/>
  </w:num>
  <w:num w:numId="16">
    <w:abstractNumId w:val="5"/>
  </w:num>
  <w:num w:numId="17">
    <w:abstractNumId w:val="7"/>
  </w:num>
  <w:num w:numId="18">
    <w:abstractNumId w:val="32"/>
  </w:num>
  <w:num w:numId="19">
    <w:abstractNumId w:val="4"/>
  </w:num>
  <w:num w:numId="20">
    <w:abstractNumId w:val="36"/>
  </w:num>
  <w:num w:numId="21">
    <w:abstractNumId w:val="28"/>
  </w:num>
  <w:num w:numId="22">
    <w:abstractNumId w:val="9"/>
  </w:num>
  <w:num w:numId="23">
    <w:abstractNumId w:val="20"/>
  </w:num>
  <w:num w:numId="24">
    <w:abstractNumId w:val="34"/>
  </w:num>
  <w:num w:numId="2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F13F7B"/>
    <w:rsid w:val="00000062"/>
    <w:rsid w:val="00003E65"/>
    <w:rsid w:val="0001602C"/>
    <w:rsid w:val="00043783"/>
    <w:rsid w:val="000447B5"/>
    <w:rsid w:val="000A78F6"/>
    <w:rsid w:val="000C0ED9"/>
    <w:rsid w:val="000D22FC"/>
    <w:rsid w:val="00100C51"/>
    <w:rsid w:val="00111F72"/>
    <w:rsid w:val="00120C24"/>
    <w:rsid w:val="0014323B"/>
    <w:rsid w:val="00166393"/>
    <w:rsid w:val="00182674"/>
    <w:rsid w:val="001D31E0"/>
    <w:rsid w:val="00206850"/>
    <w:rsid w:val="002377BD"/>
    <w:rsid w:val="0025723B"/>
    <w:rsid w:val="002B6312"/>
    <w:rsid w:val="002C20B6"/>
    <w:rsid w:val="002D03E6"/>
    <w:rsid w:val="002D297F"/>
    <w:rsid w:val="002F2EF6"/>
    <w:rsid w:val="003100A0"/>
    <w:rsid w:val="003143AC"/>
    <w:rsid w:val="00315043"/>
    <w:rsid w:val="003756A3"/>
    <w:rsid w:val="00377A85"/>
    <w:rsid w:val="00423107"/>
    <w:rsid w:val="00482F03"/>
    <w:rsid w:val="0048489F"/>
    <w:rsid w:val="00486D44"/>
    <w:rsid w:val="004911CC"/>
    <w:rsid w:val="004977E3"/>
    <w:rsid w:val="00524973"/>
    <w:rsid w:val="005271DD"/>
    <w:rsid w:val="005567DD"/>
    <w:rsid w:val="00557C1B"/>
    <w:rsid w:val="005667B0"/>
    <w:rsid w:val="005A0203"/>
    <w:rsid w:val="005A2CEF"/>
    <w:rsid w:val="005A73A1"/>
    <w:rsid w:val="00626090"/>
    <w:rsid w:val="006372AF"/>
    <w:rsid w:val="0069616C"/>
    <w:rsid w:val="006A2D7F"/>
    <w:rsid w:val="006B06C8"/>
    <w:rsid w:val="006F614E"/>
    <w:rsid w:val="007043D3"/>
    <w:rsid w:val="00747EA6"/>
    <w:rsid w:val="007857F8"/>
    <w:rsid w:val="00793290"/>
    <w:rsid w:val="007B0BFC"/>
    <w:rsid w:val="007C6FDC"/>
    <w:rsid w:val="007F7F07"/>
    <w:rsid w:val="00825A2C"/>
    <w:rsid w:val="008533D5"/>
    <w:rsid w:val="008662DB"/>
    <w:rsid w:val="0088053A"/>
    <w:rsid w:val="0088109D"/>
    <w:rsid w:val="00885AED"/>
    <w:rsid w:val="0089690B"/>
    <w:rsid w:val="008C699C"/>
    <w:rsid w:val="008C7DF3"/>
    <w:rsid w:val="008F0EE1"/>
    <w:rsid w:val="0090105B"/>
    <w:rsid w:val="00904F3E"/>
    <w:rsid w:val="00971986"/>
    <w:rsid w:val="009B55F7"/>
    <w:rsid w:val="009D19EB"/>
    <w:rsid w:val="009D3412"/>
    <w:rsid w:val="00A03EAC"/>
    <w:rsid w:val="00A30C5F"/>
    <w:rsid w:val="00A31F4C"/>
    <w:rsid w:val="00A37B5B"/>
    <w:rsid w:val="00A422AD"/>
    <w:rsid w:val="00A50977"/>
    <w:rsid w:val="00A66E2B"/>
    <w:rsid w:val="00AA3D6C"/>
    <w:rsid w:val="00B046A3"/>
    <w:rsid w:val="00B051A9"/>
    <w:rsid w:val="00B1455B"/>
    <w:rsid w:val="00B43579"/>
    <w:rsid w:val="00B92D90"/>
    <w:rsid w:val="00BD41F5"/>
    <w:rsid w:val="00C029E5"/>
    <w:rsid w:val="00C02E4A"/>
    <w:rsid w:val="00C23258"/>
    <w:rsid w:val="00C423A5"/>
    <w:rsid w:val="00C449AF"/>
    <w:rsid w:val="00C5018D"/>
    <w:rsid w:val="00C53488"/>
    <w:rsid w:val="00C60203"/>
    <w:rsid w:val="00C60445"/>
    <w:rsid w:val="00C632A9"/>
    <w:rsid w:val="00C709D5"/>
    <w:rsid w:val="00C81AB6"/>
    <w:rsid w:val="00C83FFE"/>
    <w:rsid w:val="00CF56E9"/>
    <w:rsid w:val="00D605A5"/>
    <w:rsid w:val="00D66B15"/>
    <w:rsid w:val="00DC04C8"/>
    <w:rsid w:val="00DD00D4"/>
    <w:rsid w:val="00DD0416"/>
    <w:rsid w:val="00DF0A29"/>
    <w:rsid w:val="00DF31F4"/>
    <w:rsid w:val="00DF666F"/>
    <w:rsid w:val="00E3115C"/>
    <w:rsid w:val="00E43CB7"/>
    <w:rsid w:val="00E549CB"/>
    <w:rsid w:val="00E54FA0"/>
    <w:rsid w:val="00E82633"/>
    <w:rsid w:val="00E92BFD"/>
    <w:rsid w:val="00EA4623"/>
    <w:rsid w:val="00F13F7B"/>
    <w:rsid w:val="00F373F6"/>
    <w:rsid w:val="00F81878"/>
    <w:rsid w:val="00FD33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3F7B"/>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557C1B"/>
    <w:rPr>
      <w:sz w:val="16"/>
      <w:szCs w:val="16"/>
    </w:rPr>
  </w:style>
  <w:style w:type="paragraph" w:styleId="CommentText">
    <w:name w:val="annotation text"/>
    <w:basedOn w:val="Normal"/>
    <w:link w:val="CommentTextChar"/>
    <w:uiPriority w:val="99"/>
    <w:semiHidden/>
    <w:unhideWhenUsed/>
    <w:rsid w:val="00557C1B"/>
    <w:pPr>
      <w:spacing w:line="240" w:lineRule="auto"/>
    </w:pPr>
    <w:rPr>
      <w:sz w:val="20"/>
      <w:szCs w:val="20"/>
    </w:rPr>
  </w:style>
  <w:style w:type="character" w:customStyle="1" w:styleId="CommentTextChar">
    <w:name w:val="Comment Text Char"/>
    <w:basedOn w:val="DefaultParagraphFont"/>
    <w:link w:val="CommentText"/>
    <w:uiPriority w:val="99"/>
    <w:semiHidden/>
    <w:rsid w:val="00557C1B"/>
    <w:rPr>
      <w:sz w:val="20"/>
      <w:szCs w:val="20"/>
    </w:rPr>
  </w:style>
  <w:style w:type="paragraph" w:styleId="CommentSubject">
    <w:name w:val="annotation subject"/>
    <w:basedOn w:val="CommentText"/>
    <w:next w:val="CommentText"/>
    <w:link w:val="CommentSubjectChar"/>
    <w:uiPriority w:val="99"/>
    <w:semiHidden/>
    <w:unhideWhenUsed/>
    <w:rsid w:val="00557C1B"/>
    <w:rPr>
      <w:b/>
      <w:bCs/>
    </w:rPr>
  </w:style>
  <w:style w:type="character" w:customStyle="1" w:styleId="CommentSubjectChar">
    <w:name w:val="Comment Subject Char"/>
    <w:basedOn w:val="CommentTextChar"/>
    <w:link w:val="CommentSubject"/>
    <w:uiPriority w:val="99"/>
    <w:semiHidden/>
    <w:rsid w:val="00557C1B"/>
    <w:rPr>
      <w:b/>
      <w:bCs/>
    </w:rPr>
  </w:style>
  <w:style w:type="paragraph" w:styleId="BalloonText">
    <w:name w:val="Balloon Text"/>
    <w:basedOn w:val="Normal"/>
    <w:link w:val="BalloonTextChar"/>
    <w:uiPriority w:val="99"/>
    <w:semiHidden/>
    <w:unhideWhenUsed/>
    <w:rsid w:val="00557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C1B"/>
    <w:rPr>
      <w:rFonts w:ascii="Tahoma" w:hAnsi="Tahoma" w:cs="Tahoma"/>
      <w:sz w:val="16"/>
      <w:szCs w:val="16"/>
    </w:rPr>
  </w:style>
  <w:style w:type="paragraph" w:styleId="Header">
    <w:name w:val="header"/>
    <w:basedOn w:val="Normal"/>
    <w:link w:val="HeaderChar"/>
    <w:uiPriority w:val="99"/>
    <w:unhideWhenUsed/>
    <w:rsid w:val="00C02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E4A"/>
  </w:style>
  <w:style w:type="paragraph" w:styleId="Footer">
    <w:name w:val="footer"/>
    <w:basedOn w:val="Normal"/>
    <w:link w:val="FooterChar"/>
    <w:uiPriority w:val="99"/>
    <w:unhideWhenUsed/>
    <w:rsid w:val="00C02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E4A"/>
  </w:style>
  <w:style w:type="paragraph" w:styleId="ListParagraph">
    <w:name w:val="List Paragraph"/>
    <w:basedOn w:val="Normal"/>
    <w:uiPriority w:val="34"/>
    <w:qFormat/>
    <w:rsid w:val="00000062"/>
    <w:pPr>
      <w:ind w:left="720"/>
      <w:contextualSpacing/>
    </w:pPr>
  </w:style>
  <w:style w:type="paragraph" w:styleId="NoSpacing">
    <w:name w:val="No Spacing"/>
    <w:link w:val="NoSpacingChar"/>
    <w:uiPriority w:val="1"/>
    <w:qFormat/>
    <w:rsid w:val="004231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3107"/>
    <w:rPr>
      <w:rFonts w:eastAsiaTheme="minorEastAsia"/>
      <w:lang w:val="en-US"/>
    </w:rPr>
  </w:style>
  <w:style w:type="table" w:styleId="TableGrid">
    <w:name w:val="Table Grid"/>
    <w:basedOn w:val="TableNormal"/>
    <w:uiPriority w:val="59"/>
    <w:rsid w:val="002C20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7867797">
      <w:bodyDiv w:val="1"/>
      <w:marLeft w:val="0"/>
      <w:marRight w:val="0"/>
      <w:marTop w:val="0"/>
      <w:marBottom w:val="0"/>
      <w:divBdr>
        <w:top w:val="none" w:sz="0" w:space="0" w:color="auto"/>
        <w:left w:val="none" w:sz="0" w:space="0" w:color="auto"/>
        <w:bottom w:val="none" w:sz="0" w:space="0" w:color="auto"/>
        <w:right w:val="none" w:sz="0" w:space="0" w:color="auto"/>
      </w:divBdr>
    </w:div>
    <w:div w:id="179046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6F901-2BB9-434F-971C-67780C6C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6</Pages>
  <Words>1646</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Vardhman Concrete Limited</vt:lpstr>
    </vt:vector>
  </TitlesOfParts>
  <Company>VarHman concrete Limited</Company>
  <LinksUpToDate>false</LinksUpToDate>
  <CharactersWithSpaces>11012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 Financial Services Limited</dc:title>
  <dc:subject>Policy on Related Party Transactions</dc:subject>
  <dc:creator>Pi</dc:creator>
  <cp:lastModifiedBy>PJSA</cp:lastModifiedBy>
  <cp:revision>56</cp:revision>
  <dcterms:created xsi:type="dcterms:W3CDTF">2016-01-08T09:43:00Z</dcterms:created>
  <dcterms:modified xsi:type="dcterms:W3CDTF">2016-10-16T12:34:00Z</dcterms:modified>
</cp:coreProperties>
</file>